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30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ПЗВО «МІЖНАРОДНИЙ КЛАСИЧНИЙ УНІВЕРСИТЕТ</w:t>
      </w: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30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ПИЛИПА ОРЛИКА»</w:t>
      </w:r>
    </w:p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AE3F27" w:rsidRPr="004B3055" w:rsidRDefault="00AE3F27" w:rsidP="00AE3F27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AE3F27" w:rsidRPr="008E6F60" w:rsidRDefault="00DB4643" w:rsidP="008073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E6F60">
        <w:rPr>
          <w:rFonts w:ascii="Times New Roman" w:eastAsia="Calibri" w:hAnsi="Times New Roman" w:cs="Times New Roman"/>
          <w:sz w:val="32"/>
          <w:szCs w:val="32"/>
          <w:lang w:val="uk-UA"/>
        </w:rPr>
        <w:t>МЕТОДИЧНІ РЕКОМЕНДАЦІЇ</w:t>
      </w:r>
    </w:p>
    <w:p w:rsidR="00DB4643" w:rsidRPr="008E6F60" w:rsidRDefault="00DB4643" w:rsidP="008E6F6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E6F60">
        <w:rPr>
          <w:rFonts w:ascii="Times New Roman" w:eastAsia="Calibri" w:hAnsi="Times New Roman" w:cs="Times New Roman"/>
          <w:sz w:val="32"/>
          <w:szCs w:val="32"/>
          <w:lang w:val="uk-UA"/>
        </w:rPr>
        <w:t>ДО НАПИСАННЯ ТА ЗАХИСТУ КУРСОВОЇ РОБОТИ</w:t>
      </w:r>
    </w:p>
    <w:p w:rsidR="00DB4643" w:rsidRPr="008E6F60" w:rsidRDefault="00AE3F27" w:rsidP="00DB4643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8E6F6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 дисциплін</w:t>
      </w:r>
    </w:p>
    <w:p w:rsidR="00AE3F27" w:rsidRDefault="00807328" w:rsidP="00807328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«ОСНОВИ ФІЗИЧНОЇ ТЕРАПІЇ, ЕРГОТЕРАПІЇ»,</w:t>
      </w:r>
    </w:p>
    <w:p w:rsidR="00DB4643" w:rsidRDefault="00F26B7D" w:rsidP="008E6F60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«ТЕОРІЯ ТА ТЕХНОЛОГІЇ ОЗДОРОВЧО-РЕКРЕАЦІЙНОЇ РУХОВОЇ АКТИВНОСТІ»</w:t>
      </w:r>
    </w:p>
    <w:p w:rsidR="00AE3F27" w:rsidRPr="00DB4643" w:rsidRDefault="00807328" w:rsidP="00807328">
      <w:pPr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B46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                 </w:t>
      </w:r>
      <w:r w:rsidR="00AE3F27" w:rsidRPr="00DB46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 галузі знань</w:t>
      </w:r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22 ОХОРОНА ЗДОРОВ</w:t>
      </w:r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’</w:t>
      </w:r>
      <w:r w:rsidR="00AE3F27" w:rsidRPr="00DB46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Я</w:t>
      </w:r>
    </w:p>
    <w:p w:rsidR="00AE3F27" w:rsidRPr="00AE3F27" w:rsidRDefault="00807328" w:rsidP="00807328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B46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    </w:t>
      </w:r>
      <w:r w:rsidR="00AE3F27" w:rsidRPr="00DB46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зі спеціальності</w:t>
      </w:r>
      <w:r w:rsidR="00AE3F27" w:rsidRPr="006766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AE3F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227 ФІЗИЧНА ТЕРАПІЯ, ЕРГОТЕРАПІЯ</w:t>
      </w:r>
    </w:p>
    <w:p w:rsidR="00AE3F27" w:rsidRDefault="00AE3F27" w:rsidP="00807328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76003" w:rsidRPr="00376003" w:rsidRDefault="00376003" w:rsidP="003760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76003">
        <w:rPr>
          <w:rFonts w:ascii="Times New Roman" w:eastAsia="Times New Roman" w:hAnsi="Times New Roman" w:cs="Times New Roman"/>
          <w:sz w:val="28"/>
          <w:lang w:eastAsia="ru-RU"/>
        </w:rPr>
        <w:t xml:space="preserve">Обговорено </w:t>
      </w:r>
      <w:r w:rsidRPr="00376003">
        <w:rPr>
          <w:rFonts w:ascii="Times New Roman" w:eastAsia="Times New Roman" w:hAnsi="Times New Roman" w:cs="Times New Roman"/>
          <w:sz w:val="28"/>
          <w:lang w:val="uk-UA" w:eastAsia="ru-RU"/>
        </w:rPr>
        <w:t>та схвалено</w:t>
      </w:r>
    </w:p>
    <w:p w:rsidR="00376003" w:rsidRPr="00376003" w:rsidRDefault="00376003" w:rsidP="003760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76003">
        <w:rPr>
          <w:rFonts w:ascii="Times New Roman" w:eastAsia="Times New Roman" w:hAnsi="Times New Roman" w:cs="Times New Roman"/>
          <w:sz w:val="28"/>
          <w:lang w:val="uk-UA" w:eastAsia="ru-RU"/>
        </w:rPr>
        <w:t>на засіданні кафедри</w:t>
      </w:r>
    </w:p>
    <w:p w:rsidR="00376003" w:rsidRPr="00376003" w:rsidRDefault="00C70EC4" w:rsidP="003760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«22</w:t>
      </w:r>
      <w:r w:rsidR="00376003" w:rsidRPr="00376003">
        <w:rPr>
          <w:rFonts w:ascii="Times New Roman" w:eastAsia="Times New Roman" w:hAnsi="Times New Roman" w:cs="Times New Roman"/>
          <w:sz w:val="28"/>
          <w:lang w:val="uk-UA" w:eastAsia="ru-RU"/>
        </w:rPr>
        <w:t>» жовтня</w:t>
      </w:r>
      <w:r w:rsidR="007E761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376003" w:rsidRPr="00376003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E7614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76003" w:rsidRPr="00376003">
        <w:rPr>
          <w:rFonts w:ascii="Times New Roman" w:eastAsia="Times New Roman" w:hAnsi="Times New Roman" w:cs="Times New Roman"/>
          <w:sz w:val="28"/>
          <w:lang w:eastAsia="ru-RU"/>
        </w:rPr>
        <w:t xml:space="preserve"> р.</w:t>
      </w:r>
    </w:p>
    <w:p w:rsidR="00376003" w:rsidRPr="00376003" w:rsidRDefault="00376003" w:rsidP="003760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76003">
        <w:rPr>
          <w:rFonts w:ascii="Times New Roman" w:eastAsia="Times New Roman" w:hAnsi="Times New Roman" w:cs="Times New Roman"/>
          <w:sz w:val="28"/>
          <w:lang w:eastAsia="ru-RU"/>
        </w:rPr>
        <w:t>Протокол №</w:t>
      </w:r>
      <w:r w:rsidRPr="0037600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3</w:t>
      </w: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E3F27" w:rsidRDefault="00AE3F27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CB5" w:rsidRDefault="00713CB5" w:rsidP="00AE3F27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3F27" w:rsidRPr="00713CB5" w:rsidRDefault="00AE3F27" w:rsidP="00713CB5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 – 20</w:t>
      </w:r>
      <w:r w:rsidR="007E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</w:p>
    <w:p w:rsidR="001923AE" w:rsidRPr="001923AE" w:rsidRDefault="001923AE" w:rsidP="0019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923AE">
        <w:rPr>
          <w:rFonts w:ascii="Times New Roman" w:eastAsia="Times New Roman" w:hAnsi="Times New Roman" w:cs="Times New Roman"/>
          <w:b/>
          <w:sz w:val="28"/>
          <w:lang w:val="uk-UA" w:eastAsia="ru-RU"/>
        </w:rPr>
        <w:lastRenderedPageBreak/>
        <w:t>ЗМІСТ</w:t>
      </w:r>
    </w:p>
    <w:p w:rsidR="001923AE" w:rsidRPr="001923AE" w:rsidRDefault="001923AE" w:rsidP="001923AE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tbl>
      <w:tblPr>
        <w:tblStyle w:val="a7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73"/>
        <w:gridCol w:w="816"/>
      </w:tblGrid>
      <w:tr w:rsidR="001923AE" w:rsidTr="00713CB5">
        <w:tc>
          <w:tcPr>
            <w:tcW w:w="9073" w:type="dxa"/>
          </w:tcPr>
          <w:p w:rsidR="001923AE" w:rsidRDefault="001923AE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ВСТУ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П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3</w:t>
            </w:r>
          </w:p>
        </w:tc>
      </w:tr>
      <w:tr w:rsidR="001923AE" w:rsidTr="00713CB5">
        <w:tc>
          <w:tcPr>
            <w:tcW w:w="9073" w:type="dxa"/>
          </w:tcPr>
          <w:p w:rsidR="001923AE" w:rsidRPr="001923AE" w:rsidRDefault="001923AE" w:rsidP="001923AE">
            <w:pPr>
              <w:ind w:left="1260" w:hanging="126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 І.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 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ОСНОВНІ ПОЛОЖЕННЯ ДО ВИБОРУ ТЕМИ КУРСОВОЇ РОБОТИ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3</w:t>
            </w:r>
          </w:p>
        </w:tc>
      </w:tr>
      <w:tr w:rsidR="001923AE" w:rsidTr="00713CB5">
        <w:tc>
          <w:tcPr>
            <w:tcW w:w="9073" w:type="dxa"/>
          </w:tcPr>
          <w:p w:rsidR="001923AE" w:rsidRDefault="001923AE" w:rsidP="009B2984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 </w:t>
            </w:r>
            <w:r w:rsidR="009B298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 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ХАРАКТЕР КУРСОВОЇ РОБОТИ ТА ПЛАНУВАННЯ ЇЇ ВИКОНАННЯ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5</w:t>
            </w:r>
          </w:p>
        </w:tc>
      </w:tr>
      <w:tr w:rsidR="001923AE" w:rsidTr="00713CB5">
        <w:tc>
          <w:tcPr>
            <w:tcW w:w="9073" w:type="dxa"/>
          </w:tcPr>
          <w:p w:rsidR="001923AE" w:rsidRDefault="001923AE" w:rsidP="009B2984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 </w:t>
            </w:r>
            <w:r w:rsidR="009B298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3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 ВИМОГИ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ДО ОСНОВНИХ 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РОЗДІЛІВ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КУРСОВОЇ РОБОТИ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5</w:t>
            </w:r>
          </w:p>
        </w:tc>
      </w:tr>
      <w:tr w:rsidR="001923AE" w:rsidTr="00713CB5">
        <w:tc>
          <w:tcPr>
            <w:tcW w:w="9073" w:type="dxa"/>
          </w:tcPr>
          <w:p w:rsidR="001923AE" w:rsidRPr="001923AE" w:rsidRDefault="009B2984" w:rsidP="009B2984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</w:t>
            </w:r>
            <w:r w:rsidRPr="009B29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4.  РЕЗУЛЬТАТИ ДОСЛІДЖЕННЯ ТА ЇХ ОБГОВОРЕННЯ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9</w:t>
            </w:r>
          </w:p>
        </w:tc>
      </w:tr>
      <w:tr w:rsidR="001923AE" w:rsidTr="00713CB5">
        <w:tc>
          <w:tcPr>
            <w:tcW w:w="9073" w:type="dxa"/>
          </w:tcPr>
          <w:p w:rsidR="001923AE" w:rsidRPr="009B2984" w:rsidRDefault="009B2984" w:rsidP="009B298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3A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РОЗДІЛ</w:t>
            </w:r>
            <w:r w:rsidRPr="009B29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5. ОСНОВНІ ВИМОГИ ДО ОФОРМЛЕННЯ КУРСОВОЇ РОБОТИ</w:t>
            </w:r>
          </w:p>
        </w:tc>
        <w:tc>
          <w:tcPr>
            <w:tcW w:w="816" w:type="dxa"/>
          </w:tcPr>
          <w:p w:rsid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18</w:t>
            </w:r>
          </w:p>
        </w:tc>
      </w:tr>
      <w:tr w:rsidR="009B2984" w:rsidTr="00713CB5">
        <w:tc>
          <w:tcPr>
            <w:tcW w:w="9073" w:type="dxa"/>
          </w:tcPr>
          <w:p w:rsidR="009B2984" w:rsidRPr="009B2984" w:rsidRDefault="009B2984" w:rsidP="009B298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9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Розділ 6. ПІДГОТОВКА ДО ЗАХИСТУ І ЗАХИСТ КУРСОВОЇ РОБОТИ</w:t>
            </w:r>
          </w:p>
        </w:tc>
        <w:tc>
          <w:tcPr>
            <w:tcW w:w="816" w:type="dxa"/>
          </w:tcPr>
          <w:p w:rsidR="009B2984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20</w:t>
            </w:r>
          </w:p>
        </w:tc>
      </w:tr>
      <w:tr w:rsidR="001923AE" w:rsidTr="00713CB5">
        <w:tc>
          <w:tcPr>
            <w:tcW w:w="9073" w:type="dxa"/>
          </w:tcPr>
          <w:p w:rsidR="001923AE" w:rsidRPr="001923AE" w:rsidRDefault="009B2984" w:rsidP="001923AE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Додаток 1</w:t>
            </w:r>
          </w:p>
        </w:tc>
        <w:tc>
          <w:tcPr>
            <w:tcW w:w="816" w:type="dxa"/>
          </w:tcPr>
          <w:p w:rsidR="001923AE" w:rsidRDefault="001923AE" w:rsidP="001923AE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</w:tbl>
    <w:p w:rsidR="001923AE" w:rsidRDefault="001923AE" w:rsidP="001923AE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23AE" w:rsidRDefault="001923AE" w:rsidP="001923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B2984" w:rsidRDefault="009B2984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B2984" w:rsidRDefault="009B2984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B2984" w:rsidRDefault="009B2984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923AE" w:rsidRPr="001923AE" w:rsidRDefault="001923AE" w:rsidP="001923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ВСТУП</w:t>
      </w:r>
    </w:p>
    <w:p w:rsidR="001923AE" w:rsidRPr="001923AE" w:rsidRDefault="001923AE" w:rsidP="001923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Фахова підготовка 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спеціалістів будь якого профілю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спрямована на озброєння його необхідними знаннями, уміннями і навичками науково-дослідної діяльності. З цією метою в процесі вузівської підготовки спеціаліста значне місце приділяється виконанню курсових робіт, яке спрямоване  на рішення таких завдань:</w:t>
      </w:r>
    </w:p>
    <w:p w:rsidR="001923AE" w:rsidRPr="001923AE" w:rsidRDefault="001923AE" w:rsidP="001923AE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систематизація, закріплення, розширення теоретичних і практичних знань, умінь і навичок;</w:t>
      </w:r>
    </w:p>
    <w:p w:rsidR="001923AE" w:rsidRPr="001923AE" w:rsidRDefault="001923AE" w:rsidP="001923AE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оволодіння методикою елементарних педагогічних досліджень в процесі 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роботи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;</w:t>
      </w:r>
    </w:p>
    <w:p w:rsidR="001923AE" w:rsidRPr="001923AE" w:rsidRDefault="001923AE" w:rsidP="001923AE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підвищення рівня підготовленості студентів до самостійної творчої роботи в умовах 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сучасності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. </w:t>
      </w: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Виконання курсової роботи сприяє  формуванню у студентів системи знань наукових дисциплін з циклу професійної та практичної підготовки, а також циклу  фундаментальної, природничо-наукової та загальноекономічної підготовки шляхом обґрунтування досліджуваної проблеми з позицій </w:t>
      </w:r>
      <w:r w:rsidR="00FF4CE5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різних наук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. </w:t>
      </w: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Робота над курсовою роботою дає </w:t>
      </w:r>
      <w:r w:rsidR="00FF4CE5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здобувачу вищої освіти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можливість набути навички роботи над літературними джерелами, а також уміння аналізувати й узагальнювати накопичений літературний матеріал. </w:t>
      </w:r>
    </w:p>
    <w:p w:rsidR="001923AE" w:rsidRPr="001923AE" w:rsidRDefault="001923AE" w:rsidP="001923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Курсова робота орієнтує </w:t>
      </w:r>
      <w:r w:rsidR="00FF4CE5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здобувачів вищої освіти</w:t>
      </w:r>
      <w:r w:rsidRPr="001923A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на творчий пошук, на виконання роботи дослідницького характеру.  В період виробничої або переддипломної практики студенти повинні провести основні дослідження відповідно до теми обраної курсової  роботи. </w:t>
      </w:r>
    </w:p>
    <w:p w:rsidR="00FF4CE5" w:rsidRPr="009B2984" w:rsidRDefault="001923AE" w:rsidP="009B29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A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Важливим моментом при виконанні курсової роботи є формування уміння грамотно, літературною мовою викладати результати своїх досліджень і робити відповідні висновки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F4CE5" w:rsidRDefault="00FF4CE5" w:rsidP="001923AE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</w:p>
    <w:p w:rsidR="00FF4CE5" w:rsidRPr="00FF4CE5" w:rsidRDefault="00FF4CE5" w:rsidP="00FF4C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Розділ </w:t>
      </w:r>
      <w:r w:rsidR="009B2984">
        <w:rPr>
          <w:rFonts w:ascii="Times New Roman" w:eastAsia="Times New Roman" w:hAnsi="Times New Roman" w:cs="Times New Roman"/>
          <w:b/>
          <w:sz w:val="28"/>
          <w:lang w:val="uk-UA" w:eastAsia="ru-RU"/>
        </w:rPr>
        <w:t>1</w:t>
      </w: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>. ОСНОВНІ ПОЛОЖЕННЯ ДО ВИБОРУ ТЕМИ КУРСОВОЇ РОБОТИ</w:t>
      </w:r>
    </w:p>
    <w:p w:rsidR="00FF4CE5" w:rsidRPr="00FF4CE5" w:rsidRDefault="00FF4CE5" w:rsidP="00FF4C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u w:val="single"/>
          <w:lang w:val="uk-UA" w:eastAsia="ru-RU"/>
        </w:rPr>
      </w:pP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Вибір теми курсової роботи є відповідальним моментом у науково-дослідницькій роботі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 Виконання курсової роботи забирає багато часу, але головне, ця робота змушує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включатися в тривалий і безперервний аналітичний процес над обраною проблемою, що дає можливість підвищити професійний рівень підготовки.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При виборі теми перед студентом виникає проблема, який напрямок виконання курсової роботи обрати - експериментальний або теоретичний.  Весь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 xml:space="preserve">цикл запропонованих тем спрямований на рішення тих завдань, що позначені у вступі. 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Треба пам'ятати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те, що запропонована тематика курсових робіт не вичерпує усіх проблем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даної галузі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Тому, якщо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запропонує якусь власну проблему, що заслуговує уваги, але непозначену тематикою курсових робіт, викладач може прийняти її та забезпечити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всебічну підтримку і кваліфіковану консультацію по даній темі.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Обираючи тему курсової роботи треба опиратися на такі положення: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Перше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Перед вибором теми необхідно проаналізувати свої можливості в галузі теоретичної і практичної підготовки й на цій основі визначити напрямок, що дозволить найбільш ефективно використовувати свій потенціал при виконанні курсової роботи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Друге положення. 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Тему курсової роботи краще шукати в галузі навчальної і практичної діяльності.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Третє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Обрана тема курсової роботи повинна бути актуальною для сучасної практики. 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Четверте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Тема курсової роботи не повинна нав'язуватися виконавцю. Вона повинна вибиратися за власним бажанням після того, як студент проаналізує отриману інформацію (знайомство з літературою, консультація викладача, бесіди зі студентами і таке інше) і остаточно обере ту тему, яка його цікавить.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П'яте положення.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Обрана тема повинна характеризуватися не широкістю поставлених питань, а старанністю і глибиною їхньої розробки. Вона повинна мати чітко окреслені межі. Надмірно велика тема не дозволяє вивчити явище у всіх його зв'язках, призводить до багатого накопичення матеріалу, що ускладнює його глибоку проробку і найчастіше виконання такого обсягу роботи не під силу одній людині. </w:t>
      </w:r>
    </w:p>
    <w:p w:rsidR="00FF4CE5" w:rsidRPr="00FF4CE5" w:rsidRDefault="00FF4CE5" w:rsidP="00FF4CE5">
      <w:pPr>
        <w:pStyle w:val="text"/>
        <w:spacing w:line="276" w:lineRule="auto"/>
        <w:rPr>
          <w:b/>
          <w:sz w:val="28"/>
        </w:rPr>
      </w:pPr>
      <w:r w:rsidRPr="00FF4CE5">
        <w:rPr>
          <w:b/>
          <w:sz w:val="28"/>
        </w:rPr>
        <w:t xml:space="preserve">Шосте положення. </w:t>
      </w:r>
      <w:r w:rsidRPr="00FF4CE5">
        <w:rPr>
          <w:sz w:val="28"/>
        </w:rPr>
        <w:t xml:space="preserve">При виборі теми варто враховувати індивідуальні схильності і спроможності до визначеного виду творчої діяльності, рівень теоретичної підготовленості, педагогічний і суспільний досвід роботи в </w:t>
      </w:r>
      <w:r>
        <w:rPr>
          <w:sz w:val="28"/>
        </w:rPr>
        <w:t>галузі</w:t>
      </w:r>
      <w:r w:rsidRPr="00FF4CE5">
        <w:rPr>
          <w:sz w:val="28"/>
        </w:rPr>
        <w:t xml:space="preserve">. Такий підхід дозволить правильно орієнтуватися у виборі теми курсової роботи. </w:t>
      </w:r>
    </w:p>
    <w:p w:rsidR="00FF4CE5" w:rsidRPr="00FF4CE5" w:rsidRDefault="00FF4CE5" w:rsidP="00FF4CE5">
      <w:pPr>
        <w:pStyle w:val="text"/>
        <w:spacing w:line="276" w:lineRule="auto"/>
        <w:rPr>
          <w:sz w:val="28"/>
        </w:rPr>
      </w:pPr>
      <w:r w:rsidRPr="00FF4CE5">
        <w:rPr>
          <w:sz w:val="28"/>
        </w:rPr>
        <w:t xml:space="preserve">Тематика курсових робіт визначається кафедрою відповідно до навчальної програми і відбиває, якщо це доцільно, спрямованість наукових інтересів викладачів кафедри. </w:t>
      </w:r>
    </w:p>
    <w:p w:rsidR="00FF4CE5" w:rsidRPr="00FF4CE5" w:rsidRDefault="00FF4CE5" w:rsidP="00FF4CE5">
      <w:pPr>
        <w:pStyle w:val="text"/>
        <w:spacing w:line="276" w:lineRule="auto"/>
        <w:rPr>
          <w:sz w:val="28"/>
        </w:rPr>
      </w:pPr>
      <w:r w:rsidRPr="00FF4CE5">
        <w:rPr>
          <w:sz w:val="28"/>
        </w:rPr>
        <w:t xml:space="preserve">Якщо декілька </w:t>
      </w:r>
      <w:r>
        <w:rPr>
          <w:sz w:val="28"/>
        </w:rPr>
        <w:t>здобувачів вищої освіти</w:t>
      </w:r>
      <w:r w:rsidRPr="00FF4CE5">
        <w:rPr>
          <w:sz w:val="28"/>
        </w:rPr>
        <w:t xml:space="preserve"> зупиняють вибір на одній темі, кафедра вирішує питання про можливість розробки варіантів теми і розподілі їх між студентами. </w:t>
      </w:r>
    </w:p>
    <w:p w:rsidR="00FF4CE5" w:rsidRPr="00FF4CE5" w:rsidRDefault="00FF4CE5" w:rsidP="00FF4CE5">
      <w:pPr>
        <w:pStyle w:val="text"/>
        <w:spacing w:line="276" w:lineRule="auto"/>
        <w:rPr>
          <w:sz w:val="28"/>
        </w:rPr>
      </w:pPr>
      <w:r w:rsidRPr="00FF4CE5">
        <w:rPr>
          <w:sz w:val="28"/>
        </w:rPr>
        <w:lastRenderedPageBreak/>
        <w:t xml:space="preserve">Обрані студентами теми і розподіл </w:t>
      </w:r>
      <w:r>
        <w:rPr>
          <w:sz w:val="28"/>
        </w:rPr>
        <w:t>здобувачів вищої освіти</w:t>
      </w:r>
      <w:r w:rsidRPr="00FF4CE5">
        <w:rPr>
          <w:sz w:val="28"/>
        </w:rPr>
        <w:t xml:space="preserve"> між керівниками затверджується на засіданні кафедри. Після цього </w:t>
      </w:r>
      <w:r>
        <w:rPr>
          <w:sz w:val="28"/>
        </w:rPr>
        <w:t>здобувач вищої освіти</w:t>
      </w:r>
      <w:r w:rsidRPr="00FF4CE5">
        <w:rPr>
          <w:sz w:val="28"/>
        </w:rPr>
        <w:t xml:space="preserve"> повинен одержати консультацію у свого керівника, разом із ним конкретизувати тему, а потім приступити до тематичного пошуку літератури, до підготовки детального плану роботи, написанню вступу, де обґрунтовується вибір теми і формулюються завдання роботи. План і список основної літератури подається керівнику для схвалення.</w:t>
      </w:r>
    </w:p>
    <w:p w:rsidR="00FF4CE5" w:rsidRDefault="00FF4CE5" w:rsidP="001923AE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Розділ 2. ХАРАКТЕР КУРСОВОЇ РОБОТИ ТА ПЛАНУВАННЯ ЇЇ ВИКОНАННЯ </w:t>
      </w: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Курсові роботи за змістом можуть бути: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теоретичного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характеру, виконані</w:t>
      </w: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на основі аналітичного збору літературних даних з обраної теми;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емпіричного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характеру, виконані на основі аналізу передового досвіду роботи спеціалістів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галузі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власного досвіду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здобувача вищої освіти тощо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;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>експериментальні,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виконані на основі результатів власних досліджень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у галузі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; </w:t>
      </w:r>
    </w:p>
    <w:p w:rsidR="00FF4CE5" w:rsidRPr="00FF4CE5" w:rsidRDefault="00FF4CE5" w:rsidP="00FF4CE5">
      <w:pPr>
        <w:pStyle w:val="aa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конструктивного 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характеру – виготовлення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об</w:t>
      </w:r>
      <w:r w:rsidRPr="00FF4CE5">
        <w:rPr>
          <w:rFonts w:ascii="Times New Roman" w:eastAsia="Times New Roman" w:hAnsi="Times New Roman" w:cs="Times New Roman"/>
          <w:sz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єкту інтелектуальної власності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Після вибору і реєстрації теми на кафедрі кожний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здобувач вищої освіти</w:t>
      </w:r>
      <w:r w:rsidRPr="00FF4CE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складає індивідуальний план виконання курсової роботи. В ньому вказуються основні розділи роботи, їх зміст, строки завершення й відмітка про виконання.</w:t>
      </w:r>
    </w:p>
    <w:p w:rsidR="00FF4CE5" w:rsidRPr="00FF4CE5" w:rsidRDefault="00FF4CE5" w:rsidP="00FF4CE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3. ВИМОГИ ДО ОСНОВНИХ РОЗДІЛІВ КУРСОВОЇ РОБОТИ</w:t>
      </w: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і зміст курсової роботи</w:t>
      </w:r>
    </w:p>
    <w:p w:rsidR="00FF4CE5" w:rsidRPr="00FF4CE5" w:rsidRDefault="00FF4CE5" w:rsidP="00FF4CE5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основному курсова робота будується за планом наукової роботи і включає: </w:t>
      </w:r>
      <w:r w:rsidRPr="00FF4CE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вступ; 2) огляд літератури; 3) завдання, методи й організація досліджень; 4) результати досліджень та їх обговорення; 5) висновки; 6) список літератури; 7) додатки.</w:t>
      </w:r>
    </w:p>
    <w:p w:rsidR="00FF4CE5" w:rsidRPr="00FF4CE5" w:rsidRDefault="00FF4CE5" w:rsidP="00FF4C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вступі визначають коло</w:t>
      </w: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 питань, яким присвячена кур</w:t>
      </w: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сова робота. Вступ викладається у такій послідовності: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актуальність теми;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об'єкт та предмет дослідження;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мета роботи;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гіпотеза;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дослідження;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теоретична значимість;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значущість;</w:t>
      </w:r>
    </w:p>
    <w:p w:rsidR="00FF4CE5" w:rsidRPr="00FF4CE5" w:rsidRDefault="00FF4CE5" w:rsidP="00FF4CE5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і обсяг роботи.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вступу не повинен перевищувати 2—3 сторінки. </w:t>
      </w:r>
    </w:p>
    <w:p w:rsidR="00FF4CE5" w:rsidRPr="00FF4CE5" w:rsidRDefault="00FF4CE5" w:rsidP="00FF4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CE5" w:rsidRPr="00FF4CE5" w:rsidRDefault="00FF4CE5" w:rsidP="00FF4C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Огляд літератури</w:t>
      </w:r>
    </w:p>
    <w:p w:rsidR="00C83F14" w:rsidRPr="00C83F14" w:rsidRDefault="00FF4CE5" w:rsidP="00C83F14">
      <w:pPr>
        <w:pStyle w:val="text"/>
        <w:spacing w:line="276" w:lineRule="auto"/>
        <w:rPr>
          <w:sz w:val="28"/>
          <w:szCs w:val="28"/>
        </w:rPr>
      </w:pPr>
      <w:r w:rsidRPr="00FF4CE5">
        <w:rPr>
          <w:sz w:val="28"/>
          <w:szCs w:val="28"/>
        </w:rPr>
        <w:t>Робота над курсовою роботою, як правило, починається з підбору і первинного ознайомлення з необхідною літературою. Літературний огляд у вигляді самостійного розділу за обсягом складає 25—30% всієї роботи. Загальний обсяг курсової роботи 35—40 сторінок комп’ютерного набору. Щоб правильно і швидко знайти потрібне літературне джерело, необхідно знати основи бібліографії — галузі знань про методи складання і вивчення каталогів, покажчиків, списків літератури й оглядів періодичної преси. У кожній бібліотеці є каталоги, які</w:t>
      </w:r>
      <w:r w:rsidR="00C83F14">
        <w:rPr>
          <w:sz w:val="28"/>
          <w:szCs w:val="28"/>
        </w:rPr>
        <w:t xml:space="preserve"> </w:t>
      </w:r>
      <w:r w:rsidR="00C83F14" w:rsidRPr="00C83F14">
        <w:rPr>
          <w:sz w:val="28"/>
          <w:szCs w:val="28"/>
        </w:rPr>
        <w:t>полегшують підбір наукових публікацій і показують наявність літературного фонду. В систематичних каталогах усі картки розташовані по галузях знань і частково забезпечені анотаціями. У предметних каталогах картки зібрані в алфавітному порядку питань, які складають зміст окремих тем і проблем. В алфавітних каталогах картки перебувають в алфавітному порядку прізвищ авторів або назв книг. Ці каталоги доповнюють систематичні каталоги і до них звертаються у тих випадках, коли необхідно вияснити наявність книг певного автора в бібліотеці або знайти потрібне джерело, назва якого вже відома студенту.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 знати і порядок вивчення наукової літератури: частіше всього починають із знайомства з роботами загального характеру, а потім переходять до джерел, в яких висвітлюються які-небудь конкретні проблеми. Їх розгляд може проводитись у різній послідовності. Спочатку студенту доцільно переглядати і читати джерела у зворотньо-хронологічному порядку, тобто спочатку – сучасні публікації, а потім більш ранні. Зворотньо-хронологічний порядок вивчення літератури дає більш глибоке уявлення про тему курсової роботи, а також його використання правомірне у тих випадках, коли треба оцінити ранні публікації з позицій сучасних поглядів на дане питання. Хронологічна послідовність у роботі з публікаціями застосовується при дослідженні процесу чи явища у динаміці. У цих випадках аналіз літературних джерел починається з підбору і читання ранніх публікацій і завершується вивченням нових джерел з теми. </w:t>
      </w:r>
    </w:p>
    <w:p w:rsidR="00FF4CE5" w:rsidRDefault="00C83F14" w:rsidP="00C83F14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роботи з науковою публікацією має ряд особливостей. Ознайомлення з монографією чи навчальним посібни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доцільно починати із змісту. Це дозволить визначити загальний зміст книги й установити, до якого за характером читання удатися — суцільного чи вибіркового.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обирається вибірковий характер читання, то установлюється які розділи читання і в якій послідовності.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ознайомленням зі змістом корисно ознайомитись з вихідними даними книги (в якому місті вона видана, яке видавництво її випустило, в якому році, яким тиражем, хто редактор), що дозволить оцінити сучасність та її характер (навчальний, науковий, популярний). Потім слід прочитати вступ (передмову). Він дає можливість зорієнтуватися у головному змісті книги, зрозуміти ведучі ідеї автора. Далі треба переглянути список рекомендованої літератури, щоб ознайомитись з додатковою літературою з теми й оцінити її обсяг.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Приступаючи до читання основного матеріалу в книзі, доцільно виписати всі незнайомі слова й терміни у спеціальний словник з вказівкою виясненого смислу. Читати текст треба порівняно повільно, осмислюючи зміст публікації, намагаючись зрозуміти головні ідеї й думки автора. При великій складності літературного джерела, що вивчається, корисно прочитати його повторно, щоб до кінця зрозуміти хід думок автора, їх логіку й доказовість.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Завершальним етапом вивчення літературних джерел є запис його основного змісту у вигляді цитування, складання плану тез або конспектів.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Цитування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окремих місць тексту публікації використовуються для того, щоб підкріпити чи обґрунтувати власну думку. Крім того, воно необхідне при викладанні точних формулювань тих чи інших понять. При цитуванні дотримуються таких правил: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цитата повинна точно відповідати оригіналу аж до розділових знаків;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місцях опущеного тексту ставляться крапки до і після яких розділові знаки не ставлять;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цитата береться в лапки;</w:t>
      </w:r>
    </w:p>
    <w:p w:rsidR="00C83F14" w:rsidRPr="00C83F14" w:rsidRDefault="00C83F14" w:rsidP="00C83F14">
      <w:pPr>
        <w:pStyle w:val="aa"/>
        <w:numPr>
          <w:ilvl w:val="0"/>
          <w:numId w:val="4"/>
        </w:numPr>
        <w:tabs>
          <w:tab w:val="num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цитата супроводжується посиланням, у якому наводиться повний бібліографічний опис джерела. 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 два способи посилань: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 цитатою називається прізвище автора, після цитати ставиться знак зноски (цифра або зірочка), у кінці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сторінки під рискою наводиться повний бібліографічний опис. Наведемо приклад: ...</w:t>
      </w:r>
      <w:r w:rsidR="00634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«адаптація» академік В.Н. Платонов розуміє «... і як процес, і як результат: адаптація використовується для позначення процесу при якому організм пристосовується до факторів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зовнішнього або внутрішнього середовища; адаптація застосовується для позначення відносної рівноваги, яка встановлюється між організмом і середовищем; під адаптацією розуміють результат пристосувального процесу».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 тексті вказуються ініціали і прізвище автора, якого цитують, рік видання літературного джерела. Наприкінці цитати у дужках вказуються сторінки джерела, на яких це написано, а повний бібліографічний опис публікації наводиться у списку літератури, яка використовується.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План, звичайно, складається у формі переліку головних питань, які розглядаються у публікації. План може бути простим і складним. При написанні складного плану основні питання повинні мати підпорядковані питання. Він дає змогу більш глибоко, порівняно з простим планом, зрозуміти зміст роботи.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Тезова форма запису змісту літературного джерела повніше, ніж план, і є його короткою розшифровкою. Тези повинні відображати висновки і ведучі положення, виказані автором публікації. Тези можуть бути складними і простими. У складних тезах є аргументація, докази і фактичний матеріал.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Працюючи над темою, краще всього конспектувати зміст статті або книги, що вивчаються. Існують три види конспекту: простий, складний і звідний.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Простий конспект — це послідовний і короткий виклад змісту роботи без аналізу і доказів. Наприклад: «К.П. Сахновський у статті «Початкова спортивна підготовка» (1995) відмічає, що підвищення ефективності початкової спортивної підготовки передбачає не тільки науковий пошук, спрямований на удосконалення початкового відбору й оптимізацію побудови першого етапу, багаторічного спортивно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удосконалення, але і реаліза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цію системи заходів, у тому числі і загальнодержавних, покликаних забезпечити більшу відповідність організаційних основ початкової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спортивної підготовки наявним знанням про шляхи ефективного розв'язання її головних завдань».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Складний конспект — це викладення матеріалу публікації з описанням фактичного матеріалу, з його аргументацією, доказами, з аналізом, узагальненням, висновками і розподілом тексту на пункти і підпункти. Подібний конспект включає в себе цитати, план і тези, а також може мати таблиці, малюнки.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Звідний конспект передбачає єдиний цілісний виклад змісту кількох публікацій. Звичайно, такі конспекти є тематичними і узагальнюють матеріали різних авторів з однієї теми.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літературні джерела, на які є посилання в літературному огляді, повинні бути включені у список літератури і пронумеровані.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Посилання на літературу із списку можуть бути оформлені по-різному. Можна у курсовій роботі робити номерні посилання. Таке посилання містить тільки номер публікації по списку. Воно береться у квадратні дужки. Наприклад: [12], [15]. Можна давати бібліографічне посилання в тексті з вказівкою прізвища з ініціалами і року видання роботи. Наприклад: (М.М. Булатова, В.Н. Платонов, 1996). 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 правило, посилання розміщують у тому місці, де це найбільше зручно за змістом.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тексті наводиться назва якої-небудь роботи, то вона береться в лапки.</w:t>
      </w:r>
    </w:p>
    <w:p w:rsidR="00C83F14" w:rsidRPr="00C83F14" w:rsidRDefault="00C83F14" w:rsidP="00C83F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Наприкінці «Огляду літе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ратури» доцільно зробити виснов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ки. Вони необхідні для порівняння з результатами власного дослідження.</w:t>
      </w:r>
    </w:p>
    <w:p w:rsid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b/>
          <w:sz w:val="28"/>
          <w:szCs w:val="28"/>
          <w:lang w:val="uk-UA"/>
        </w:rPr>
        <w:t>Завдання, методи й організація досліджень</w:t>
      </w:r>
    </w:p>
    <w:p w:rsid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Після огляду літератури, визначення мети, формулюються 2—3 основні завдання дослі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дження. Постановка завдання доз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>воляє визначити, що потрібно вивчати з даної теми,</w:t>
      </w:r>
      <w:r w:rsidRPr="00C83F14">
        <w:t xml:space="preserve"> 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 xml:space="preserve">на якому контингенті проводиться експериментальне дослідження і в яких умовах будуть збиратися дані. 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Після визначення завдань студенти приступають до відбору методів та організації дослідження. На початку в роботі перераховуються методи, що використовуються. Наприклад, для рішення поставлених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нами використовувались такі ме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>тоди дослідження: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1. Теоретичний аналіз і узагальнення літератури.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2. Педагогічне спостереження.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3. Педагогічне тестування.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4. Методи математичної статистики.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Якщо застосовувались загальновживані методи, то їх докладно не описують, а тільки вказують точну назву методу, його автора, рік публікації, зві</w:t>
      </w:r>
      <w:r>
        <w:rPr>
          <w:rFonts w:ascii="Times New Roman" w:hAnsi="Times New Roman" w:cs="Times New Roman"/>
          <w:sz w:val="28"/>
          <w:szCs w:val="28"/>
          <w:lang w:val="uk-UA"/>
        </w:rPr>
        <w:t>дки взято відомості. Застосуван</w:t>
      </w:r>
      <w:r w:rsidRPr="00C83F14">
        <w:rPr>
          <w:rFonts w:ascii="Times New Roman" w:hAnsi="Times New Roman" w:cs="Times New Roman"/>
          <w:sz w:val="28"/>
          <w:szCs w:val="28"/>
          <w:lang w:val="uk-UA"/>
        </w:rPr>
        <w:t>ня нової оригінальної методики вимагає докладного описання з ілюстрацією робочих моментів експерименту, малюнками, принциповими схемами. Повністю описуються всі власні модифікації, зміни, доповнення в методику інших авторів.</w:t>
      </w:r>
    </w:p>
    <w:p w:rsidR="00C83F14" w:rsidRP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14">
        <w:rPr>
          <w:rFonts w:ascii="Times New Roman" w:hAnsi="Times New Roman" w:cs="Times New Roman"/>
          <w:sz w:val="28"/>
          <w:szCs w:val="28"/>
          <w:lang w:val="uk-UA"/>
        </w:rPr>
        <w:t>Після вибору методів дослідження студент приступає до організації і проведення експерименту. Дуже важливим тут є правильний вибір контингенту обстежуваних осіб. Вони відбираються так, щоб за віком, статтю, фізичним розвитком і підготовленістю відповідали завданням дослідника.</w:t>
      </w:r>
    </w:p>
    <w:p w:rsidR="00C83F14" w:rsidRDefault="00C83F14" w:rsidP="00C83F14">
      <w:pPr>
        <w:spacing w:before="1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4.</w:t>
      </w:r>
      <w:r w:rsidRPr="00C8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РЕЗУЛЬТАТИ ДОСЛІДЖЕННЯ ТА ЇХ ОБГОВОРЕНН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</w:p>
    <w:p w:rsidR="00C83F14" w:rsidRP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цьому розділі представляють результати власних досліджень. Для того, щоб зробити аналіз експериментального матеріалу, треба провести його математичну обробку. Наведемо найпростіші способи обробки експериментальних даних мето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дами математичної статистики.</w:t>
      </w:r>
    </w:p>
    <w:p w:rsidR="00C83F14" w:rsidRP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Середня арифметична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Проста середня арифметична величина обчислюється шляхом додавання всіх одержаних значень (варіант) і ділення обчисленої суми на кількість випадків (n). Середня арифметична обчислюється за формулою:</w:t>
      </w:r>
    </w:p>
    <w:p w:rsidR="00C83F14" w:rsidRPr="00C83F14" w:rsidRDefault="00C83F14" w:rsidP="00C83F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pt;height:34.05pt" o:ole="" fillcolor="window">
            <v:imagedata r:id="rId7" o:title=""/>
          </v:shape>
          <o:OLEObject Type="Embed" ProgID="Equation.3" ShapeID="_x0000_i1025" DrawAspect="Content" ObjectID="_1676795741" r:id="rId8"/>
        </w:objec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83F14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79" w:dyaOrig="300">
          <v:shape id="_x0000_i1026" type="#_x0000_t75" style="width:14.6pt;height:14.6pt" o:ole="" fillcolor="window">
            <v:imagedata r:id="rId9" o:title=""/>
          </v:shape>
          <o:OLEObject Type="Embed" ProgID="Equation.3" ShapeID="_x0000_i1026" DrawAspect="Content" ObjectID="_1676795742" r:id="rId10"/>
        </w:objec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середня арифметична; ∑ — знак суми; V — одержані у дослідженнях значення (варіанти).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before="14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Середнє квадратичне відхилення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Додатковою характеристикою середньої арифметичної, що показує мінливість, є середнє квадратичне відхилення G варіаційного ряду. Чим менше</w:t>
      </w: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G,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 більш однорідний варіаційний ряд (стабільні ознаки, показник і результат).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Середнє квадратичне відхилення застосовується при оцінці мінливості варіаційного ряду, обчисленні коефіцієнту варіації, визначенні середніх помилок і розміру вибірки.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теорії розподілу для статистичних сукупностей розроблено елементарний спосіб визначення середнього квадратичного відхилення</w:t>
      </w:r>
    </w:p>
    <w:p w:rsidR="00C83F14" w:rsidRPr="00C83F14" w:rsidRDefault="00C83F14" w:rsidP="00C83F14">
      <w:pPr>
        <w:spacing w:after="0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700" w:dyaOrig="620">
          <v:shape id="_x0000_i1027" type="#_x0000_t75" style="width:84.65pt;height:31.15pt" o:ole="" fillcolor="window">
            <v:imagedata r:id="rId11" o:title=""/>
          </v:shape>
          <o:OLEObject Type="Embed" ProgID="Equation.3" ShapeID="_x0000_i1027" DrawAspect="Content" ObjectID="_1676795743" r:id="rId12"/>
        </w:objec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V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max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найбільше значення варіанти; V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min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найменше; К — коефіцієнт кількості випадків.</w:t>
      </w:r>
    </w:p>
    <w:p w:rsidR="00C83F14" w:rsidRPr="00C83F14" w:rsidRDefault="00C83F14" w:rsidP="00C83F14">
      <w:pPr>
        <w:spacing w:before="6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Коефіцієнт варіації.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Коефіцієнт варіації С</w:t>
      </w:r>
      <w:r w:rsidRPr="00C83F1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v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обчислюється за формулою:</w:t>
      </w:r>
    </w:p>
    <w:p w:rsidR="00C83F14" w:rsidRPr="00C83F14" w:rsidRDefault="002635D7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33" type="#_x0000_t75" style="position:absolute;left:0;text-align:left;margin-left:117pt;margin-top:9.05pt;width:77.05pt;height:31pt;z-index:251660288" fillcolor="window">
            <v:imagedata r:id="rId13" o:title=""/>
            <w10:wrap type="square" side="right"/>
          </v:shape>
          <o:OLEObject Type="Embed" ProgID="Equation.3" ShapeID="_x0000_s1033" DrawAspect="Content" ObjectID="_1676795748" r:id="rId14"/>
        </w:objec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відміну від сигми він є не абсолютною, а відносною мірою мінливості і застосовується у тих випадках, коли необхідно порівняти достовірність середньої арифметичної у двох і більше варіаційних рядах із різними значеннями варіантів, тобто застосовується при порівнянні середніх, виражених у різних одиницях.</w:t>
      </w:r>
    </w:p>
    <w:p w:rsidR="00C83F14" w:rsidRPr="00C83F14" w:rsidRDefault="00C83F14" w:rsidP="00C83F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lang w:val="uk-UA" w:eastAsia="ru-RU"/>
        </w:rPr>
        <w:t>Коефіцієнти К</w:t>
      </w:r>
      <w:r w:rsidRPr="00C83F14">
        <w:rPr>
          <w:rFonts w:ascii="Times New Roman" w:eastAsia="Times New Roman" w:hAnsi="Times New Roman" w:cs="Times New Roman"/>
          <w:b/>
          <w:lang w:val="uk-UA" w:eastAsia="ru-RU"/>
        </w:rPr>
        <w:br/>
        <w:t>С.І. Єрмолаєва для розрахунку середнього квадратичного відхилення за формулою</w:t>
      </w:r>
    </w:p>
    <w:p w:rsidR="00C83F14" w:rsidRPr="00C83F14" w:rsidRDefault="00C83F14" w:rsidP="00C83F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83F14">
        <w:rPr>
          <w:rFonts w:ascii="Times New Roman" w:eastAsia="Times New Roman" w:hAnsi="Times New Roman" w:cs="Times New Roman"/>
          <w:position w:val="-24"/>
          <w:lang w:val="uk-UA" w:eastAsia="ru-RU"/>
        </w:rPr>
        <w:object w:dxaOrig="1980" w:dyaOrig="620">
          <v:shape id="_x0000_i1029" type="#_x0000_t75" style="width:99.25pt;height:31.15pt" o:ole="" fillcolor="window">
            <v:imagedata r:id="rId15" o:title=""/>
          </v:shape>
          <o:OLEObject Type="Embed" ProgID="Equation.3" ShapeID="_x0000_i1029" DrawAspect="Content" ObjectID="_1676795744" r:id="rId16"/>
        </w:objec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C83F14" w:rsidRPr="00C83F14" w:rsidTr="00C83F14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Число</w:t>
            </w:r>
          </w:p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спостережень</w:t>
            </w:r>
          </w:p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lastRenderedPageBreak/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2,97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3,59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3,69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3,96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4,06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4,29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4,48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4,63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4,74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4,84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4,93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5,01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C83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</w:t>
            </w:r>
          </w:p>
        </w:tc>
      </w:tr>
      <w:tr w:rsidR="00C83F14" w:rsidRPr="00C83F14" w:rsidTr="00C83F14">
        <w:trPr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5,49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5,76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5,94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6,07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6,28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6,35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6,42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F14" w:rsidRPr="00C83F14" w:rsidRDefault="00C83F14" w:rsidP="00C8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F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6,48</w:t>
            </w:r>
          </w:p>
        </w:tc>
      </w:tr>
    </w:tbl>
    <w:p w:rsidR="00C83F14" w:rsidRDefault="00C83F14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F14" w:rsidRPr="00C83F14" w:rsidRDefault="00C83F14" w:rsidP="00C83F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Помилка середнього арифметичного.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статистиці під «помилкою» слід розуміти не помилку дослідження, а міру представництва даної величини, тобто наскільки середня арифметична величина, одержана із вибіркової сукупності (10—20 випадків) відрізняється від істинної, яка була б одержана на генеральній сукупності (100, 200, 300 і більше випадків). Вона визначається за формулою</w:t>
      </w:r>
    </w:p>
    <w:p w:rsidR="00C83F14" w:rsidRPr="00C83F14" w:rsidRDefault="002635D7" w:rsidP="00C83F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34" type="#_x0000_t75" style="position:absolute;margin-left:212.25pt;margin-top:6.9pt;width:66pt;height:33pt;z-index:251662336" fillcolor="window">
            <v:imagedata r:id="rId17" o:title=""/>
            <w10:wrap type="square" side="right"/>
          </v:shape>
          <o:OLEObject Type="Embed" ProgID="Equation.3" ShapeID="_x0000_s1034" DrawAspect="Content" ObjectID="_1676795749" r:id="rId18"/>
        </w:object>
      </w:r>
    </w:p>
    <w:p w:rsidR="00C83F14" w:rsidRPr="00C83F14" w:rsidRDefault="00C83F14" w:rsidP="00C83F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4" w:rsidRPr="00C83F14" w:rsidRDefault="00C83F14" w:rsidP="00C83F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виразі під коренем ставиться n—1, якщо менше 30 випадків, якщо ж більше, то n.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достовірність середньої арифметичної залежить від дисперсії варіаційного ряду. Чим більш компактним є ряд, тим достовірнішою буде середня арифметична, і навпаки, чим він більше розсіяний, тим середня арифметична менш достовірна, міра її точності залежить також від кількості спостережень. Помилка середньої арифметичної (±m) застосовується при обчисленні довірливого коефіцієнта.</w:t>
      </w:r>
    </w:p>
    <w:p w:rsidR="00C83F14" w:rsidRPr="00C83F14" w:rsidRDefault="00C83F14" w:rsidP="00C8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4" w:rsidRPr="00C83F14" w:rsidRDefault="00C83F14" w:rsidP="00C83F14">
      <w:pPr>
        <w:spacing w:before="20"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Достовірність різниці між двома середніми величинами.</w:t>
      </w:r>
    </w:p>
    <w:p w:rsidR="00C83F14" w:rsidRPr="00C83F14" w:rsidRDefault="00C83F14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педагогічній діяльності при визначенні ефективності методик виховання рухових здібностей або тренувальних засобів у різних кількісних варіантах часто доводиться порівнювати дані експериментальної і контрольної груп, відмінності між якими повинні бути статистично доведеними. Для цього розраховується середня помилка різниці за формулою</w:t>
      </w:r>
    </w:p>
    <w:p w:rsidR="00C83F14" w:rsidRPr="00C83F14" w:rsidRDefault="00C83F14" w:rsidP="006B516A">
      <w:pPr>
        <w:widowControl w:val="0"/>
        <w:spacing w:after="0"/>
        <w:jc w:val="center"/>
        <w:rPr>
          <w:rFonts w:ascii="Arial" w:eastAsia="Times New Roman" w:hAnsi="Arial" w:cs="Times New Roman"/>
          <w:snapToGrid w:val="0"/>
          <w:sz w:val="28"/>
          <w:szCs w:val="28"/>
          <w:lang w:val="uk-UA" w:eastAsia="ru-RU"/>
        </w:rPr>
      </w:pPr>
      <w:r w:rsidRPr="00C83F14">
        <w:rPr>
          <w:rFonts w:ascii="Arial" w:eastAsia="Times New Roman" w:hAnsi="Arial" w:cs="Times New Roman"/>
          <w:snapToGrid w:val="0"/>
          <w:position w:val="-36"/>
          <w:sz w:val="28"/>
          <w:szCs w:val="28"/>
          <w:lang w:val="uk-UA" w:eastAsia="ru-RU"/>
        </w:rPr>
        <w:object w:dxaOrig="1920" w:dyaOrig="780">
          <v:shape id="_x0000_i1031" type="#_x0000_t75" style="width:96.3pt;height:38.9pt" o:ole="" fillcolor="window">
            <v:imagedata r:id="rId19" o:title=""/>
          </v:shape>
          <o:OLEObject Type="Embed" ProgID="Equation.3" ShapeID="_x0000_i1031" DrawAspect="Content" ObjectID="_1676795745" r:id="rId20"/>
        </w:object>
      </w:r>
      <w:r w:rsidRPr="00C83F14">
        <w:rPr>
          <w:rFonts w:ascii="Arial" w:eastAsia="Times New Roman" w:hAnsi="Arial" w:cs="Times New Roman"/>
          <w:snapToGrid w:val="0"/>
          <w:sz w:val="28"/>
          <w:szCs w:val="28"/>
          <w:lang w:val="uk-UA" w:eastAsia="ru-RU"/>
        </w:rPr>
        <w:t>,</w:t>
      </w:r>
    </w:p>
    <w:p w:rsidR="00C83F14" w:rsidRPr="00C83F14" w:rsidRDefault="00C83F14" w:rsidP="006B5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число ступенів вільності варіант від 1 до ∞ за формулою</w:t>
      </w:r>
    </w:p>
    <w:p w:rsidR="00C83F14" w:rsidRPr="00C83F14" w:rsidRDefault="00C83F14" w:rsidP="006B51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= 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3F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83F14" w:rsidRPr="00C83F14" w:rsidRDefault="00C83F14" w:rsidP="006B5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де с – число спостережень без одиниці (с=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3F14">
        <w:rPr>
          <w:rFonts w:ascii="Times New Roman" w:eastAsia="Times New Roman" w:hAnsi="Times New Roman" w:cs="Times New Roman"/>
          <w:sz w:val="28"/>
          <w:szCs w:val="28"/>
          <w:lang w:eastAsia="ru-RU"/>
        </w:rPr>
        <w:t>-1)</w:t>
      </w:r>
      <w:r w:rsidRPr="00C8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516A" w:rsidRPr="006B516A" w:rsidRDefault="00C83F14" w:rsidP="006B516A">
      <w:pPr>
        <w:pStyle w:val="text"/>
        <w:spacing w:line="276" w:lineRule="auto"/>
        <w:rPr>
          <w:sz w:val="28"/>
          <w:szCs w:val="28"/>
        </w:rPr>
      </w:pPr>
      <w:r w:rsidRPr="006B516A">
        <w:rPr>
          <w:sz w:val="28"/>
          <w:szCs w:val="28"/>
        </w:rPr>
        <w:t xml:space="preserve">На далі достовірність різниці визначається за таблицею імовірностей </w:t>
      </w:r>
      <w:r w:rsidRPr="00C83F14">
        <w:rPr>
          <w:sz w:val="28"/>
          <w:szCs w:val="28"/>
          <w:lang w:val="en-US"/>
        </w:rPr>
        <w:t>P</w:t>
      </w:r>
      <w:r w:rsidRPr="006B516A">
        <w:rPr>
          <w:sz w:val="28"/>
          <w:szCs w:val="28"/>
        </w:rPr>
        <w:t>(</w:t>
      </w:r>
      <w:r w:rsidRPr="00C83F14">
        <w:rPr>
          <w:sz w:val="28"/>
          <w:szCs w:val="28"/>
          <w:lang w:val="en-US"/>
        </w:rPr>
        <w:t>t</w:t>
      </w:r>
      <w:r w:rsidRPr="006B516A">
        <w:rPr>
          <w:sz w:val="28"/>
          <w:szCs w:val="28"/>
        </w:rPr>
        <w:t>)≥(</w:t>
      </w:r>
      <w:r w:rsidRPr="00C83F14">
        <w:rPr>
          <w:sz w:val="28"/>
          <w:szCs w:val="28"/>
          <w:lang w:val="en-US"/>
        </w:rPr>
        <w:t>t</w:t>
      </w:r>
      <w:r w:rsidRPr="006B516A">
        <w:rPr>
          <w:sz w:val="28"/>
          <w:szCs w:val="28"/>
          <w:vertAlign w:val="subscript"/>
        </w:rPr>
        <w:t>1</w:t>
      </w:r>
      <w:r w:rsidRPr="006B516A">
        <w:rPr>
          <w:sz w:val="28"/>
          <w:szCs w:val="28"/>
        </w:rPr>
        <w:t xml:space="preserve">) за </w:t>
      </w:r>
      <w:r w:rsidRPr="00C83F14">
        <w:rPr>
          <w:sz w:val="28"/>
          <w:szCs w:val="28"/>
          <w:lang w:val="en-US"/>
        </w:rPr>
        <w:t>t</w:t>
      </w:r>
      <w:r w:rsidRPr="006B516A">
        <w:rPr>
          <w:sz w:val="28"/>
          <w:szCs w:val="28"/>
        </w:rPr>
        <w:t>-критерієм Стьюдента</w:t>
      </w:r>
      <w:r w:rsidR="006B516A">
        <w:rPr>
          <w:sz w:val="28"/>
          <w:szCs w:val="28"/>
        </w:rPr>
        <w:t xml:space="preserve"> (див. табл. </w:t>
      </w:r>
      <w:r w:rsidR="006B516A" w:rsidRPr="006B516A">
        <w:t>Імовірності Р(</w:t>
      </w:r>
      <w:r w:rsidR="006B516A" w:rsidRPr="006B516A">
        <w:rPr>
          <w:lang w:val="en-US"/>
        </w:rPr>
        <w:t>t</w:t>
      </w:r>
      <w:r w:rsidR="006B516A" w:rsidRPr="006B516A">
        <w:t>) ≥ (</w:t>
      </w:r>
      <w:r w:rsidR="006B516A" w:rsidRPr="006B516A">
        <w:rPr>
          <w:lang w:val="en-US"/>
        </w:rPr>
        <w:t>t</w:t>
      </w:r>
      <w:r w:rsidR="006B516A" w:rsidRPr="006B516A">
        <w:rPr>
          <w:vertAlign w:val="subscript"/>
        </w:rPr>
        <w:t>1</w:t>
      </w:r>
      <w:r w:rsidR="006B516A" w:rsidRPr="006B516A">
        <w:t>) за критерієм</w:t>
      </w:r>
      <w:r w:rsidR="006B516A">
        <w:t xml:space="preserve"> Стьюдента). </w:t>
      </w:r>
      <w:r w:rsidR="006B516A" w:rsidRPr="006B516A">
        <w:rPr>
          <w:sz w:val="28"/>
          <w:szCs w:val="28"/>
        </w:rPr>
        <w:t xml:space="preserve">У цій таблиці стовпчик </w:t>
      </w:r>
      <w:r w:rsidR="006B516A" w:rsidRPr="006B516A">
        <w:rPr>
          <w:sz w:val="28"/>
          <w:szCs w:val="28"/>
          <w:lang w:val="en-US"/>
        </w:rPr>
        <w:t>t</w:t>
      </w:r>
      <w:r w:rsidR="006B516A" w:rsidRPr="006B516A">
        <w:rPr>
          <w:sz w:val="28"/>
          <w:szCs w:val="28"/>
        </w:rPr>
        <w:t xml:space="preserve"> є нормованим відхиленням і має числа, які дають змогу визначити у скільки разів різниця більше середньої помилки. За показниками </w:t>
      </w:r>
      <w:r w:rsidR="006B516A" w:rsidRPr="006B516A">
        <w:rPr>
          <w:sz w:val="28"/>
          <w:szCs w:val="28"/>
          <w:lang w:val="en-US"/>
        </w:rPr>
        <w:t>t</w:t>
      </w:r>
      <w:r w:rsidR="006B516A" w:rsidRPr="006B516A">
        <w:rPr>
          <w:sz w:val="28"/>
          <w:szCs w:val="28"/>
        </w:rPr>
        <w:t xml:space="preserve"> і с в таблиці 2 визначається число </w:t>
      </w:r>
      <w:r w:rsidR="006B516A" w:rsidRPr="006B516A">
        <w:rPr>
          <w:sz w:val="28"/>
          <w:szCs w:val="28"/>
          <w:lang w:val="en-US"/>
        </w:rPr>
        <w:t>P</w:t>
      </w:r>
      <w:r w:rsidR="006B516A" w:rsidRPr="006B516A">
        <w:rPr>
          <w:sz w:val="28"/>
          <w:szCs w:val="28"/>
        </w:rPr>
        <w:t xml:space="preserve">, яке і показує імовірність різниці між </w:t>
      </w:r>
      <w:r w:rsidR="006B516A" w:rsidRPr="006B516A">
        <w:rPr>
          <w:position w:val="-6"/>
          <w:sz w:val="28"/>
          <w:szCs w:val="28"/>
        </w:rPr>
        <w:object w:dxaOrig="340" w:dyaOrig="340">
          <v:shape id="_x0000_i1032" type="#_x0000_t75" style="width:17.5pt;height:17.5pt" o:ole="">
            <v:imagedata r:id="rId21" o:title=""/>
          </v:shape>
          <o:OLEObject Type="Embed" ProgID="Equation.3" ShapeID="_x0000_i1032" DrawAspect="Content" ObjectID="_1676795746" r:id="rId22"/>
        </w:object>
      </w:r>
      <w:r w:rsidR="006B516A" w:rsidRPr="006B516A">
        <w:rPr>
          <w:sz w:val="28"/>
          <w:szCs w:val="28"/>
        </w:rPr>
        <w:t xml:space="preserve"> та </w:t>
      </w:r>
      <w:r w:rsidR="006B516A" w:rsidRPr="006B516A">
        <w:rPr>
          <w:position w:val="-6"/>
          <w:sz w:val="28"/>
          <w:szCs w:val="28"/>
        </w:rPr>
        <w:object w:dxaOrig="380" w:dyaOrig="340">
          <v:shape id="_x0000_i1033" type="#_x0000_t75" style="width:18.5pt;height:17.5pt" o:ole="">
            <v:imagedata r:id="rId23" o:title=""/>
          </v:shape>
          <o:OLEObject Type="Embed" ProgID="Equation.3" ShapeID="_x0000_i1033" DrawAspect="Content" ObjectID="_1676795747" r:id="rId24"/>
        </w:object>
      </w:r>
      <w:r w:rsidR="006B516A" w:rsidRPr="006B516A">
        <w:rPr>
          <w:sz w:val="28"/>
          <w:szCs w:val="28"/>
        </w:rPr>
        <w:t>. Чим більше Р, тим менш суттєва різниця та менша імовірність відмінності.</w:t>
      </w:r>
    </w:p>
    <w:p w:rsidR="006B516A" w:rsidRPr="006B516A" w:rsidRDefault="006B516A" w:rsidP="006B51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наведеному прикладі при значені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≈2,0  і с=25 число Р буде дорівнювати 0,0455 (в таблиці 2 воно розташовано на перетині рядка, який відповідає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=2,0 і стовпця, який відповідає с= ∞. Це свідчить, що реальна різниця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цілком вірогідна.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&gt;2,0, відмінності достовірні. При менших значеннях — не достовірні</w:t>
      </w: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(табл. </w:t>
      </w:r>
      <w:r w:rsidRPr="006B5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 відмінностей часто демонструється процентним розподілом імовірності і позначається латинською буквою «Р» зі знаком менше (&lt;) або більше (&gt;). Достовірні значення мають межу 95,0; 99,0; 99,9% і позначаються як Р&lt; 0,05; 0,01; 0,001.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 експерименту або спостережень можна представити у вигляді таблиць, діаграм, малюнків, схем, фотографій, графіків і т. д. Вибір форми представлення ілюстративних матеріалів залежить головним чином від мети і характеру курсової роботи.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розповсюдженою формою відображення експериментального матеріалу у закінченому вигляді є таблиці.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таблицях слова і числа представлені у вертикальних ко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лонках і горизонтальних рядках так, що кожний елемент — це одночасно складова частина і рядка, і графи. Завдяки такому розміщенню між табличними даними встановлюється взаємозв'язок, зрозумілий читачу без слів.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 таблиця повинна мати порядковий номер і назву, яка визначає її тему і зміст. Скорочення у заголовках таблиць не допускаються.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оформлені таблиці з правої сторони листа пишеться слово</w:t>
      </w: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«Таблиця» і проставляється її порядковий номер арабськими цифрами. Знак № при цьому не ставиться. Нижче дається заголовок таблиці. Крапка у кінці назви таблиці не ставиться.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Нумерація таблиць може бути або скрізною через усю роботу або ж за розділами. У другому випадку таблиця має порядковий номер із двох цифр, перша із яких означає номер розділу, друга — номер таблиці. У цьому випадку після першої цифри ставиться крапка. Розмір таблиці не повинен перевищувати стандартного аркуша паперу. Якщо таблиця не вміщається на такому форматі, її треба давати з продовженням на кількох сторінках. Над про¬довженням 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таблиці на новому листі ставиться заголовок типу «Продовження таблиці 1» або «Закінчення таблиці 1» (якщо таблиця на цій сторінці закінчується). Заголовок таблиці на новій сторінці не повторюється.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у тексті формулюється положення, яке підтверджується або ілюструється таблицею, необхідно дати на неї зноску. У цьому випадку у дужках пишеться скорочено слово «табл.» і порядковий номер таблиці, на яку дається зноска. Наприклад, (табл. 10). Примітки до таблиці розміщуються безпосередньо під нею.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графах таблиць не можна залишати вільні місця. Якщо дані відсутні, треба ставити тире або писати «немає». Якщо табличні стовпці заповнені текстом, то крапка у кінці його не ставиться.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Курсову роботу можна ілюструвати малюнками, схемами, графіками і фотографіями. Вони розміщуються у тексті роботи або виділяються у вигляді окремого додатку.</w:t>
      </w:r>
    </w:p>
    <w:p w:rsid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Підписи до ілюстрацій даються з лицьової сторони і складаються у такому порядку: умовна скорочена назва ілюстрації —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.», її порядковий номер арабськими (без знаку «№», без крапки після цифр); підпис (те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кстовка) до ілюстрації, який по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чинається з великої букви. У кінці підпису крапку не ставлять. 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Підписи під ілюстраціями повинні складатись так, щоб їх основний зміст був зрозумілим і без читання тексту роботи.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Нумерація ілюстрацій допускається як скрізна, так і за розділами. У другому випадку порядковий номер ілюстрації складається із двох цифр: перша — номер розділу (після неї ставиться крапка), а друга — номер самої ілюст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рації. Наприклад: у розділі 2 —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2.1;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2.2;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2.3 і т. д.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ілюстрація коментуєтьс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 тексті, то на неї, як прави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ло, робиться посилання, тобто вказується порядковий номер, під яким ілюстрація розміщена у курсовій роботі. Наприклад: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</w:t>
      </w: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5).</w:t>
      </w:r>
    </w:p>
    <w:p w:rsid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16A" w:rsidRPr="006B516A" w:rsidRDefault="006B516A" w:rsidP="006B51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Логічним завершенням курсової роботи є висновки, головна їх мета — підведення підсумків проведеної роботи. Ця заключна частина повинна містити не тільки кінцеві положення досягнень автора, але і вказувати подальшу перспективу розвитку досліджень з даного питання.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 представляються у вигляді окремих конкретних і лаконічних положень, що підсумовують одержані дані. Дуже важливо прослідити, щоб висновки відповідали поставленим завданням роботи. Як правило, пункти висновків включають ті узагальнені цифрові дані, які містять елементи новизни і отримані безпосередньо автором.</w:t>
      </w:r>
    </w:p>
    <w:p w:rsidR="006B516A" w:rsidRPr="006B516A" w:rsidRDefault="006B516A" w:rsidP="006B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Одним із пунктів висновків можуть бути рекомендації з теоретичної та практичної реалізації одержаних результатів.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16A" w:rsidRPr="006B516A" w:rsidRDefault="006B516A" w:rsidP="006B516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Оформлення списку літератури,</w:t>
      </w:r>
    </w:p>
    <w:p w:rsidR="006B516A" w:rsidRPr="006B516A" w:rsidRDefault="006B516A" w:rsidP="006B516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яка використовувалась у роботі</w:t>
      </w:r>
    </w:p>
    <w:p w:rsidR="006B516A" w:rsidRPr="006B516A" w:rsidRDefault="006B516A" w:rsidP="006B51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літературних джерел повинна бути 20—25.</w:t>
      </w:r>
    </w:p>
    <w:p w:rsidR="006B516A" w:rsidRDefault="006B516A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9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</w:tblGrid>
      <w:tr w:rsidR="006B516A" w:rsidRPr="006B516A" w:rsidTr="006B516A">
        <w:trPr>
          <w:trHeight w:val="5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keepNext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uk-UA" w:eastAsia="ru-RU"/>
              </w:rPr>
              <w:t xml:space="preserve">Характеристика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джерела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keepNext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Приклад оформлення</w:t>
            </w:r>
          </w:p>
        </w:tc>
      </w:tr>
      <w:tr w:rsidR="006B516A" w:rsidRPr="006B516A" w:rsidTr="006B516A">
        <w:trPr>
          <w:cantSplit/>
          <w:trHeight w:val="23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Книги: </w:t>
            </w: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Один автор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Василій Великий. Гомілії / Василій Великий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 ; [пер. з давньогрец. Л. Звонська].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Львів : Свічадо, 2006. — 307 с. — (Джерела християнського Сходу. Золотий вік патристики ІV—V ст. ; № 14).</w:t>
            </w:r>
          </w:p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Коренівський Д. Г. Дестабілізуючий ефект параметричного білого шуму в неперервних та дискретних динамічних системах / Коренівський Д. Г.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К. : Ін-т математики, 2006. — 111 с. — (Математика та її застосування) (Праці / Ін-т математики НАН України ; т. 59).</w:t>
            </w:r>
          </w:p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Матюх Н. Д. Що дорожче срібла-золота / Наталія Дмитрівна Матюх. — К. : Асамблея діл. кіл : Ін-т соц. іміджмейкінгу, 2006. — 311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(Ювеліри України ; т. 1).</w:t>
            </w:r>
          </w:p>
          <w:p w:rsidR="006B516A" w:rsidRPr="006B516A" w:rsidRDefault="006B516A" w:rsidP="006B51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Шкляр В. Елементал : [роман] / Василь Шкляр. — Львів : Кальварія, 2005. — 196, [1]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(Першотвір).</w:t>
            </w:r>
          </w:p>
        </w:tc>
      </w:tr>
      <w:tr w:rsidR="006B516A" w:rsidRPr="006B516A" w:rsidTr="006B516A">
        <w:trPr>
          <w:cantSplit/>
          <w:trHeight w:val="211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Два автори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Матяш І. Б. Діяльність Надзвичайної дипломатичної місії УНР в Угорщині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історія, спогади, арх. док.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І. Матяш, Ю. Мушка. — К. : Києво-Могилян. акад., 2005. — 397, [1]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(Бібліотека наукового щорічника "Україна дипломатична" ; вип. 1).</w:t>
            </w:r>
          </w:p>
          <w:p w:rsidR="006B516A" w:rsidRPr="006B516A" w:rsidRDefault="006B516A" w:rsidP="006B51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Ромовська З. В. Сімейне законодавство України / З. В. Ромовська, Ю. В. Черняк. — К. : Прецедент, 2006. — 93 с. — (Юридична бібліотека. Бібліотека адвоката) (Матеріали до складання кваліфікаційних іспитів для отримання Свідоцтва про право на заняття адвокатською діяльністю ; вип. 11).</w:t>
            </w:r>
          </w:p>
          <w:p w:rsidR="006B516A" w:rsidRPr="006B516A" w:rsidRDefault="006B516A" w:rsidP="006B51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Суберляк О. В. Технологія переробки полімерних та композиційних матеріалів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підруч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[для студ. вищ. навч. закл.] / О. В. Суберляк, П. І. Баштанник. — Львів : Растр-7, 2007. — 375 с.</w:t>
            </w:r>
          </w:p>
        </w:tc>
      </w:tr>
      <w:tr w:rsidR="006B516A" w:rsidRPr="006B516A" w:rsidTr="006B516A">
        <w:trPr>
          <w:cantSplit/>
          <w:trHeight w:val="8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Три автори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Акофф Р. Л. Идеализированное проектирование: как предотвратить завтрашний кризис сегодня. Создание будущего организации / Акофф Р. Л., Магидсон Д., Эддисон Г. Д.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; пер. с англ. Ф. П. Тарасенко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Днепропетровск : Баланс Бизнес Букс, 2007. — XLIII, 265 с.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B516A" w:rsidRPr="00713CB5" w:rsidTr="006B516A">
        <w:trPr>
          <w:trHeight w:val="52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Чотири автори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Методика нормування ресурсів для виробництва продукції рослинництва / [ Вітвіцький В. В., Кисляченко М. Ф., Лобастов І. В., Нечипорук А. А.]. — К. : НДІ "Украгропромпродуктивність", 2006. — 106 с. — (Бібліотека спеціаліста АПК. Економічні нормативи).</w:t>
            </w:r>
          </w:p>
          <w:p w:rsidR="006B516A" w:rsidRPr="006B516A" w:rsidRDefault="006B516A" w:rsidP="006B51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Механізація переробної галузі агропромислового комплексу : [підруч. для учнів проф.-техн. навч. закл.] / О. В. Гвоздєв, Ф. Ю. Ялпачик, Ю. П. Рогач, М. М. Сердюк. — К. : Вища освіта, 2006. — 478, [1] с. — (ПТО: Професійно-технічна освіта).</w:t>
            </w:r>
          </w:p>
        </w:tc>
      </w:tr>
      <w:tr w:rsidR="006B516A" w:rsidRPr="00713CB5" w:rsidTr="006B516A">
        <w:trPr>
          <w:trHeight w:val="142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’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ять і більше авторів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Психология менеджмента / [ Власов П. К., Липницкий А. В., Лущихина И. М. и др.]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; под ред. Г. С. Никифорова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[3-е изд.]. — Х. : Гуманитар. центр, 2007. — 510 с.</w:t>
            </w:r>
          </w:p>
          <w:p w:rsidR="006B516A" w:rsidRPr="006B516A" w:rsidRDefault="006B516A" w:rsidP="006B516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Формування здорового способу життя молоді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навч.-метод. посіб. для працівників соц. служб для сім’ї, дітей та молоді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[Т. В. Бондар, О. Г. Карпенко, Д. М. Дикова-Фаворська та ін.]. — К. : Укр. ін-т соц. дослідж., 2005. — 115 с. — (Серія "Формування здорового способу життя молоді" : у 14 кн., кн. 13).</w:t>
            </w:r>
          </w:p>
        </w:tc>
      </w:tr>
      <w:tr w:rsidR="006B516A" w:rsidRPr="006B516A" w:rsidTr="006B516A">
        <w:trPr>
          <w:trHeight w:val="19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keepLines/>
              <w:suppressAutoHyphens/>
              <w:spacing w:before="120" w:after="120" w:line="240" w:lineRule="auto"/>
              <w:outlineLvl w:val="2"/>
              <w:rPr>
                <w:rFonts w:ascii="Times New Roman" w:eastAsia="Times New Roman" w:hAnsi="Times New Roman" w:cs="Arial"/>
                <w:b/>
                <w:i/>
                <w:iCs/>
                <w:sz w:val="18"/>
                <w:szCs w:val="18"/>
                <w:lang w:val="uk-UA" w:eastAsia="ru-RU"/>
              </w:rPr>
            </w:pPr>
          </w:p>
          <w:p w:rsidR="006B516A" w:rsidRPr="006B516A" w:rsidRDefault="006B516A" w:rsidP="006B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 автора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Історія Свято-Михайлівського Золотоверхого монастиря / [авт. тексту В. Клос]. — К. : Грані-Т, 2007. — 119 с. 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—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(Грані світу).</w:t>
            </w:r>
          </w:p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Воскресіння мертвих : українська барокова драма : антологія / [упорядкув., ст., пер. і прим. В. О. Шевчук]. — К. : Грамота, 2007. — 638, [1] с.</w:t>
            </w:r>
          </w:p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Тіло чи особистість? Жіноча тілесність у вибраній малій українській прозі та графіці кінця ХІХ — початку ХХ століття : [антологія / упоряд.: Л. Таран, О. Лагутенко]. — К. : Грані-Т, 2007. — 190, [1] с.</w:t>
            </w:r>
          </w:p>
          <w:p w:rsidR="006B516A" w:rsidRPr="006B516A" w:rsidRDefault="006B516A" w:rsidP="006B51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Проблеми типологічної та квантитативної лексикології : [зб.наук.праць / наук. ред. Каліущенко В. та ін.]. — Чернівці : Рута, 2007. — 310 с.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</w:tr>
      <w:tr w:rsidR="006B516A" w:rsidRPr="006B516A" w:rsidTr="006B516A">
        <w:trPr>
          <w:trHeight w:val="7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keepLines/>
              <w:suppressAutoHyphens/>
              <w:spacing w:before="120" w:after="120" w:line="240" w:lineRule="auto"/>
              <w:ind w:left="110"/>
              <w:outlineLvl w:val="2"/>
              <w:rPr>
                <w:rFonts w:ascii="Times New Roman" w:eastAsia="Times New Roman" w:hAnsi="Times New Roman" w:cs="Arial"/>
                <w:b/>
                <w:iCs/>
                <w:sz w:val="18"/>
                <w:szCs w:val="18"/>
                <w:lang w:eastAsia="ru-RU"/>
              </w:rPr>
            </w:pPr>
          </w:p>
          <w:p w:rsidR="006B516A" w:rsidRPr="006B516A" w:rsidRDefault="006B516A" w:rsidP="006B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Багатотомний документ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Історія Національної академії наук України, 1941—1945 / [упоряд. Л. М. Яременко та ін.]. — К. : Нац. б-ка України ім. В. І. Вернадського, 2007—    .— (Джерела з історії науки в Україні).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Ч. 2 : Додатки — 2007. — 573, [1] c.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Межгосударственные стандарты : каталог в 6 т. / [сост. Ковалева И. В., Рубцова Е. Ю. ; ред. Иванов В. Л.]. — Львов : НТЦ "Леонорм-Стандарт", 2005—    .— (Серия "Нормативная база предприятия").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Т. 1. — 2005. — 277 с.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Дарова А. Т. Неисповедимы пути Господни... : (Дочь врага народа) : трилогия / А. Дарова. — Одесса : Астропринт, 2006—    .— (Сочинения : в 8 кн. / А. Дарова ; кн. 4).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Кучерявенко Н. П. Курс налогового права : Особенная часть : в 6 т. / Н. П. Кучерявенко. — Х. Право, 2002—    .—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ab/>
              <w:t>Т. 4: Косвенные налоги. — 2007. — 534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Реабілітовані історією. Житомирська область : [у 7 т.]. — Житомир : Полісся, 2006—    .— (Науково-документальна серія книг "Реабілітовані історією" : у 27 т. / голов. редкол.: Тронько П. Т. (голова) [та ін.]).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ab/>
              <w:t>Кн. 1 / [обл. редкол.: Синявська І. М. (голова) та ін.]. — 2006. — 721, [2]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Бондаренко В. Г. Теорія ймовірностей і математична статистика. Ч.1 / В. Г. Бондаренко, І. Ю. Канівська, С. М. Парамонова. — К. : НТУУ "КПІ", 2006. — 125 с.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B516A" w:rsidRPr="006B516A" w:rsidTr="006B516A">
        <w:trPr>
          <w:cantSplit/>
          <w:trHeight w:val="13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uppressAutoHyphens/>
              <w:spacing w:before="12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  <w:t>Матеріали конференцій, з’їздів</w:t>
            </w: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Економіка, менеджмент, освіта в системі реформування агропромислового комплексу :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матеріали Всеукр. конф. молодих учених-аграрників ["Молодь України і аграрна реформа"], (Харків, 11—13 жовт. 2000 р.)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/ М-во аграр. політики, Харк. держ. аграр. ун-т ім. В. В. Докучаєва. — Х. : Харк. держ. аграр. ун-т ім. В. В. Докучаєва, 2000. — 167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Кібернетика в сучасних економічних процесах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: зб. текстів виступів на республік. міжвуз. наук.-практ. конф.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/ Держкомстат України, Ін-т статистики, обліку та аудиту. — К. : ІСОА, 2002. — 147 с.</w:t>
            </w:r>
          </w:p>
          <w:p w:rsidR="006B516A" w:rsidRPr="006B516A" w:rsidRDefault="006B516A" w:rsidP="006B516A">
            <w:pPr>
              <w:keepLines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Матеріали ІХ з’їзду Асоціації українських банків, 30 червня 2000 р. інформ. бюл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— К. : Асоц. укр. банків, 2000. — 117 с. — (Спецвип.: 10 років АУБ).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Оцінка й обгрунтування продовження ресурсу елементів конструкцій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18"/>
                <w:lang w:val="uk-UA" w:eastAsia="ru-RU"/>
              </w:rPr>
              <w:t>: праці конф., 6—9 черв. 2000 р., Київ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 Т. 2 / відп. Ред. В. Т. Трощенко. — К. : НАН України, Ін-т пробл. міцності, 2000. — С. 559—956, ХІІІ, [2] с. — (Ресурс 2000).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spacing w:after="24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Проблеми обчислювальної механіки і міцності конструкцій : зб. наук. праць / наук. ред. В. І. Моссаковський. — Дніпропетровськ : Навч. кн., 1999. — 215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Ризикологія в економіці та </w:t>
            </w:r>
            <w:proofErr w:type="gram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підприємництві :</w:t>
            </w:r>
            <w:proofErr w:type="gram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зб. наук. праць за матеріалами міжнар. наук.-практ. конф., 27-28 берез. 2001 р. / М-во освіти і науки України, Держ податк. адмін. України [та ін.]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 xml:space="preserve">. — </w:t>
            </w:r>
            <w:proofErr w:type="gramStart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К. :</w:t>
            </w:r>
            <w:proofErr w:type="gramEnd"/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КНЕУ : Акад. ДПС України, 2001. — 452 с.</w:t>
            </w:r>
          </w:p>
        </w:tc>
      </w:tr>
      <w:tr w:rsidR="006B516A" w:rsidRPr="00713CB5" w:rsidTr="006B516A">
        <w:trPr>
          <w:trHeight w:val="70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Препринти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Шиляев Б. А. Расчеты параметров радиационного повреждения материалов нейтронами источника ННЦ ХФТИ/ANL USA с подкритической сборкой, управляемой ускорителем электронов / Шиляев Б. А., Воеводин В. Н. — Х. ННЦ ХФТИ, 2006. — 19 с. — (Препринт / НАН Украины, Нац. науч. центр "Харьк. физ.-техн. ин-т" ; ХФТИ 2006-4).</w:t>
            </w:r>
          </w:p>
          <w:p w:rsidR="006B516A" w:rsidRPr="006B516A" w:rsidRDefault="006B516A" w:rsidP="006B51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Панасюк М. І. Про точність визначення активності твердих радіоактивних відходів гамма-методами / Панасюк М. І., Скорбун А. Д., Сплошной Б. М. — Чорнобиль : Ін-т пробл. безпеки АЕС НАН України, 2006. — 7, [1]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(Препринт / НАН України, Ін-т пробл. безпеки АЕС ; 06-1)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</w:tc>
      </w:tr>
      <w:tr w:rsidR="006B516A" w:rsidRPr="006B516A" w:rsidTr="006B516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Депоновані наукові праці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6A" w:rsidRPr="006B516A" w:rsidRDefault="006B516A" w:rsidP="006B516A">
            <w:pPr>
              <w:numPr>
                <w:ilvl w:val="0"/>
                <w:numId w:val="36"/>
              </w:numPr>
              <w:spacing w:after="0" w:line="240" w:lineRule="auto"/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Социологическое исследование малых групп населения / В. И. Иванов [и др.] ; М-во образования Рос. Федерации, Финансовая академия. – М., 2002. – 110 с. – Деп. в ВИНИТИ 13.06.02, № 145432.</w:t>
            </w:r>
          </w:p>
          <w:p w:rsidR="006B516A" w:rsidRPr="006B516A" w:rsidRDefault="006B516A" w:rsidP="006B516A">
            <w:pPr>
              <w:numPr>
                <w:ilvl w:val="0"/>
                <w:numId w:val="36"/>
              </w:numPr>
              <w:spacing w:after="0" w:line="240" w:lineRule="auto"/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Разумовский, В. А. Управление маркетинговыми исследованиями в регионе / В. А. Разумовский, Д. А. Андреев. – М., 2002. – 210 с. – Деп. в ИНИОН Рос. акад. наук 15.02.02, № 139876.</w:t>
            </w:r>
          </w:p>
        </w:tc>
      </w:tr>
      <w:tr w:rsidR="006B516A" w:rsidRPr="006B516A" w:rsidTr="006B516A">
        <w:trPr>
          <w:trHeight w:val="3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Географія : словник-довідник / [авт.-уклад. Ципін В. Л.]. — Х. : Халімон, 2006. — 175, [1]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Тимошенко З. І. Болонський процес в дії : словник-довідник основ. термінів і понять з орг. навч. процесу у вищ. навч. закл. / З. І. Тимошенко, О. І. Тимошенко. — К. : Європ. ун-т, 2007. — 57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Українсько-німецький тематичний словник [уклад. Н. Яцко та ін.]. — К. : Карпенко, 2007. — 219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Європейський Союз : словник-довідник / [ред.-упоряд. М. Марченко]. — 2-ге вид., оновл. — К. : К.І.С., 2006. — 138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</w:tc>
      </w:tr>
      <w:tr w:rsidR="006B516A" w:rsidRPr="006B516A" w:rsidTr="006B516A">
        <w:trPr>
          <w:cantSplit/>
          <w:trHeight w:val="2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uppressAutoHyphens/>
              <w:spacing w:before="12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28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  <w:t>Атласи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Україна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екол.-геогр. атлас : присвяч. всесвіт. дню науки в ім’я миру та розвитку згідно з рішенням 31 сесії ген. конф. ЮНЕСКО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[наук. редкол.: С. С. Куруленко та ін.] ;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 xml:space="preserve"> Рада по вивч. продукт. сил України НАН України [та ін.]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— / [наук. редкол.: С. С. Куруленко та ін.]. — К. : Варта, 2006. — 217, [1] с.</w:t>
            </w:r>
          </w:p>
          <w:p w:rsidR="006B516A" w:rsidRPr="006B516A" w:rsidRDefault="006B516A" w:rsidP="006B516A">
            <w:pPr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Анатомія пам’яті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атлас схем і рисунків провідних шляхів і структур нервової системи, що беруть участь у процесах пам’яті : посіб. для студ. та лікарів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О. Л. Дроздов, Л. А. Дзяк, В. О. Козлов, В. Д. Маковецький. — 2-ге вид., розшир. та доповн. — Дніпропетровськ : Пороги, 2005. — 218 с.</w:t>
            </w:r>
          </w:p>
          <w:p w:rsidR="006B516A" w:rsidRPr="006B516A" w:rsidRDefault="006B516A" w:rsidP="006B516A">
            <w:pPr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Куерда Х. Атлас ботаніки / Хосе Куерда ; [пер. з ісп. В. Й. Шовкун]. — Х. : Ранок, 2005. — 96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</w:tc>
      </w:tr>
      <w:tr w:rsidR="006B516A" w:rsidRPr="006B516A" w:rsidTr="006B516A">
        <w:trPr>
          <w:trHeight w:val="26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tabs>
                <w:tab w:val="center" w:pos="4153"/>
                <w:tab w:val="right" w:pos="8306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Законодавчі та нормативні документи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Кримінально-процесуальний кодекс України : за станом на 1 груд. 2005 р. / Верховна Рада України. — Офіц. вид. — К. : Парлам. вид-во, 2006. — 207 с. — (Бібліотека офіційних видань).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Медична статистика статистика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: зб. нормат. док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/ упоряд. та голов. ред. В. М. Заболотько. — К. : МНІАЦ мед. статистики : Медінформ, 2006. — 459 с. — (Нормативні директивні правові документи).</w:t>
            </w:r>
          </w:p>
          <w:p w:rsidR="006B516A" w:rsidRPr="006B516A" w:rsidRDefault="006B516A" w:rsidP="006B516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Експлуатація, порядок і терміни перевірки запобіжних пристроїв посудин, апаратів і трубопроводів теплових електростанцій : СОУ-Н ЕЕ 39.501:2007. — Офіц. вид. — К. : ГРІФРЕ : М-во палива та енергетики України, 2007. — VІ, 74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.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— (Нормативний документ Мінпаливенерго України. Інструкція).</w:t>
            </w:r>
          </w:p>
        </w:tc>
      </w:tr>
      <w:tr w:rsidR="006B516A" w:rsidRPr="006B516A" w:rsidTr="006B516A">
        <w:trPr>
          <w:trHeight w:val="178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Стандарти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Графічні символи, що їх використовують на устаткуванні. Покажчик та огляд (ISO 7000:2004, IDT) : ДСТУ ISO 7000:2004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[Чинний від 2006-01-01]. — К. : Держспоживстандарт України 2006. — ІV, 231 с. — (Національний стандарт України).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Якість води. Словник термінів : ДСТУ ISO 6107-1:2004 — ДСТУ ISO 6107-9:2004. — [Чинний від 2005-04-01]. — К. : Держспоживстандарт України, 2006. — 181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(Національні стандарти України).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Вимоги щодо безпечності контрольно-вимірювального та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лабораторного електричного устаткування. Частина 2-020. Додаткові вимоги до лабораторних центрифуг (EN 61010-2-020:1994, IDT) : ДСТУ EN 61010-2-020:2005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[Чинний від 2007-01-01]. — К. : Держспоживстандарт України, 2007. — IV, 18 с. — (Національний стандарт України).</w:t>
            </w:r>
          </w:p>
        </w:tc>
      </w:tr>
      <w:tr w:rsidR="006B516A" w:rsidRPr="006B516A" w:rsidTr="006B516A">
        <w:trPr>
          <w:trHeight w:val="21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Каталоги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Межгосударственные стандарты : каталог : в 6 т. / [сост. Ковалева И. В., Павлюкова В. А. ; ред. Иванов В. Л.]. — Львов : НТЦ "Леонорм-стандарт, 2006—    . — (Серия "Нормативная база предприятия").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Т. 5. — 2007. — 264 с.</w:t>
            </w:r>
          </w:p>
          <w:p w:rsidR="006B516A" w:rsidRPr="006B516A" w:rsidRDefault="006B516A" w:rsidP="006B51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Т. 6. — 2007. — 277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Пам’ятки історії та мистецтва Львівської області : каталог-довідник / [авт.-упоряд. М. Зобків та ін.]. — Львів : Новий час, 2003. — 160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Університетська книга : осінь, 2003 : [каталог]. — [Суми : Унів. кн., 2003]. — 11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Горницкая И. П. Каталог растений для работ по фитодизайну / Горницкая И. П., Ткачук Л. П. — Донецк : Лебедь, 2005. — 228 с.</w:t>
            </w:r>
          </w:p>
        </w:tc>
      </w:tr>
      <w:tr w:rsidR="006B516A" w:rsidRPr="00713CB5" w:rsidTr="006B516A">
        <w:trPr>
          <w:trHeight w:val="18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Бібліографічні показчики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Куц О. С. Бібліографічний покажчик та анотації кандидатських дисертацій, захищених у спеціалізованій вченій раді Львівського державного університету фізичної культури у 2006 році / О. Куц, О. Вацеба. — Львів : Укр. технології, 2007. — 74 с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Систематизований покажчик матеріалів з кримінального права, опублікованих у Віснику Конституційного Суду України за 1997—2005 роки / [уклад. Кирись Б. О., Потлань О. С.]. — Львів : Львів. держ. ун-т внутр. справ, 2006. — 11 с. — (Серія: Бібліографічні довідники ; вип. 2).</w:t>
            </w:r>
          </w:p>
        </w:tc>
      </w:tr>
      <w:tr w:rsidR="006B516A" w:rsidRPr="006B516A" w:rsidTr="006B516A">
        <w:trPr>
          <w:trHeight w:val="8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Дисертації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Петров П.П. Активність молодих зірок сонячної маси:  дис. ... доктора фіз.-мат. наук : 01.03.02 / Петров Петро Петрович. – К., 2005. – 276 с.</w:t>
            </w:r>
          </w:p>
        </w:tc>
      </w:tr>
      <w:tr w:rsidR="006B516A" w:rsidRPr="006B516A" w:rsidTr="006B516A">
        <w:trPr>
          <w:trHeight w:val="211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Автореферати дисертацій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Новосад І.Я. Технологічне забезпечення виготовлення секцій робочих органів гнучких гвинтових конвеєрів : автореф. дис. на здобуття наук. ступеня канд. техн. наук : спец. 05.02.08 „Технологія машинобудування” / І. Я. Новосад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— Тернопіль, 2007. — 20, [1] с.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Нгуен Ші Данг. Моделювання і прогнозування макроекономічних показників в системі підтримки прийняття рішень управління державними фінансами : автореф. дис. на здобуття наук. ступеня канд. техн. наук : спец. 05.13.06 „Автоматиз. системи упр. та прогрес. інформ. технології” / Нгуен Ші Данг. — К., 2007. — 20 с.</w:t>
            </w:r>
          </w:p>
        </w:tc>
      </w:tr>
      <w:tr w:rsidR="006B516A" w:rsidRPr="006B516A" w:rsidTr="006B516A">
        <w:trPr>
          <w:cantSplit/>
          <w:trHeight w:val="101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Авторські свідоцтва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ind w:left="360" w:hanging="3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А. с. 1007970 СССР, МКИ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t>3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25 J 15/00. Устройство для захвата неориентированных деталей типа валов / В. С. Ваулин, В. Г. Кемайкин (СССР). – № 3360585/25–08 ; заявл. 23.11.81 ; опубл. 30.03.83, Бюл. № 12.</w:t>
            </w:r>
          </w:p>
        </w:tc>
      </w:tr>
      <w:tr w:rsidR="006B516A" w:rsidRPr="006B516A" w:rsidTr="006B516A">
        <w:trPr>
          <w:trHeight w:val="3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Патенти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40" w:lineRule="auto"/>
              <w:ind w:left="36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Пат. 2187888 Российская Федерация, МПК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t xml:space="preserve">7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H 04 В 1/38, Н 04 J 13/00. Приемопередающее устройство / Чугаева В.И.; заявитель и патентообладатель Воронеж. науч.-исслед. ин-т связи. – № 2000131736/09 ; заявл. 18.12.00 ; опубл. 20.08.02, Бюл. № 23 (II ч.).</w:t>
            </w:r>
          </w:p>
        </w:tc>
      </w:tr>
      <w:tr w:rsidR="006B516A" w:rsidRPr="00713CB5" w:rsidTr="006B516A">
        <w:trPr>
          <w:trHeight w:val="7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16A" w:rsidRPr="006B516A" w:rsidRDefault="006B516A" w:rsidP="006B516A">
            <w:pPr>
              <w:suppressAutoHyphens/>
              <w:spacing w:before="240" w:after="240" w:line="240" w:lineRule="auto"/>
              <w:ind w:left="11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bCs/>
                <w:caps/>
                <w:kern w:val="28"/>
                <w:sz w:val="14"/>
                <w:szCs w:val="18"/>
                <w:lang w:val="uk-UA" w:eastAsia="ru-RU"/>
              </w:rPr>
              <w:t>Частина книги, періодичного, продовжуваного видання</w:t>
            </w:r>
          </w:p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Козіна Ж. Л. Теоретичні основи і результати практичного застосування системного аналізу в наукових дослідженнях в області спортивних ігор / Ж. Л. Козіна // Теорія та методика фізичного виховання. — 2007. — № 6. — С. 15—18, 35—38.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Гранчак Т. Інформаційно-аналітичні структури бібліотек в умовах демократичних перетворень / Тетяна Гранчак, Валерій Горовий // Бібліотечний вісник. — 2006. — № 6. — С. 14—17.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Валькман Ю. Р. Моделирование НЕ-факторов — основа интеллектуализации компьютерных технологий / Ю. Р. Валькман, 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В. С. Быков, А. Ю. Рыхальский // Системні дослідження та інформаційні технології. — 2007. — № 1. — С. 39—61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 Шуін Проблеми психологічної підготовки в системі фізкультурної освіти / Ма Шуін // Теорія та методика фізичного виховання. — 2007. — № 5. — С. 12—14.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Регіональні особливості смертності населення України / Л. А. Чепелевська, Р. О. Моісеєнко, Г. І. Баторшина [та ін.] // Вісник соціальної гігієни та організації охорони здоров'я України. — 2007. — № 1. — С. 25—29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Валова І. Нові принципи угоди Базель ІІ / І. Валова ; пер. з англ. Н. М. Середи // Банки та банківські системи. — 2007. — Т. 2, № 2. — С. 13—20</w:t>
            </w:r>
            <w:r w:rsidRPr="006B51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Зеров М. Поетична діяльність Куліша // Українське письменство ХІХ ст. Від Куліша до Винниченка : (нариси з новітнього укр., письменства) : статті / Микола Зеров. — Дрогобич, 2007. — С. 245—291.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Третьяк В. В. Возможности использования баз знаний для проектирования технологии взрывной штамповки / В. В. Третьяк, С. А. Стадник, Н. В. Калайтан // Современное состояние использования импульсных источников энергии в промышленности : междунар. науч.-техн. конф., 3-5 окт.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B516A">
                <w:rPr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2007 г</w:t>
              </w:r>
            </w:smartTag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: тезисы докл. — Х., 2007. — С. 33.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Чорний Д. Міське самоврядування: тягарі проблем, принади цивілізації / Д. М. Чорний // По лівий бік Дніпра: проблеми модернізації міст України : (кінець XIX—початок XX ст. / Д. М. Чорний. — Х., 2007. — Розд. 3. — С. 137—202.</w:t>
            </w:r>
          </w:p>
          <w:p w:rsidR="006B516A" w:rsidRPr="006B516A" w:rsidRDefault="006B516A" w:rsidP="006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</w:tr>
      <w:tr w:rsidR="006B516A" w:rsidRPr="00713CB5" w:rsidTr="006B516A">
        <w:trPr>
          <w:cantSplit/>
          <w:trHeight w:val="35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Електронні ресурси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6B516A" w:rsidRDefault="006B516A" w:rsidP="006B516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Богомольний Б. Р. Медицина екстремальних ситуацій [Електронний </w:t>
            </w:r>
            <w:r w:rsidRPr="006B516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uk-UA" w:eastAsia="ru-RU"/>
              </w:rPr>
              <w:t xml:space="preserve">ресурс] ] </w:t>
            </w:r>
            <w:r w:rsidRPr="006B516A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szCs w:val="18"/>
                <w:lang w:val="uk-UA" w:eastAsia="ru-RU"/>
              </w:rPr>
              <w:t xml:space="preserve">: навч. посіб. для студ. мед. вузів III—IV рівнів акредитації </w:t>
            </w:r>
            <w:r w:rsidRPr="006B516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uk-UA" w:eastAsia="ru-RU"/>
              </w:rPr>
              <w:t>/ Б. Р.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</w:t>
            </w:r>
            <w:r w:rsidRPr="006B51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>гомольний, В. В. Кононенко, П. М. Чуєв. — 80 Min / 700 MB. — Одеса :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Одес. мед. ун-т, 2003. — (Бібліотека студента-медика) — 1 електрон. опт. диск (CD-ROM) ;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B516A">
                <w:rPr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12 см</w:t>
              </w:r>
            </w:smartTag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— Систем. </w:t>
            </w:r>
            <w:r w:rsidRPr="006B51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uk-UA" w:eastAsia="ru-RU"/>
              </w:rPr>
              <w:t>вимоги: Pentium ; 32 Mb RAM ; Windows 95, 98, 2000, XP ; MS Word 97-</w:t>
            </w:r>
            <w:r w:rsidRPr="006B51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2000.— Назва з контейнера.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Розподіл населення найбільш численних національностей за статтю та віком, шлюбним станом, мовними ознаками та рівнем освіти [Електронний ресурс] : за даними Всеукр. перепису населення 2001 р. / Держ. ком. ста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pacing w:val="-2"/>
                <w:sz w:val="18"/>
                <w:szCs w:val="18"/>
                <w:lang w:val="uk-UA" w:eastAsia="ru-RU"/>
              </w:rPr>
              <w:t>тистики України ; ред. О. Г. Осауленко. — К. : CD-вид-во "Інфодиск",</w:t>
            </w: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2004. — 1 електрон. опт. диск (CD-ROM) : кольор. ;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B516A">
                <w:rPr>
                  <w:rFonts w:ascii="Times New Roman" w:eastAsia="Times New Roman" w:hAnsi="Times New Roman" w:cs="Times New Roman"/>
                  <w:snapToGrid w:val="0"/>
                  <w:sz w:val="18"/>
                  <w:szCs w:val="18"/>
                  <w:lang w:val="uk-UA" w:eastAsia="ru-RU"/>
                </w:rPr>
                <w:t>12 см</w:t>
              </w:r>
            </w:smartTag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 — (Всеукр. перепис населення, 2001). — Систем. вимоги: Pentium-266 ; 32 Mb RAM ; CD-ROM Windows 98/2000/NT/XP. — Назва з титул. екрану.</w:t>
            </w:r>
          </w:p>
          <w:p w:rsidR="006B516A" w:rsidRPr="006B516A" w:rsidRDefault="006B516A" w:rsidP="006B516A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Бібліотека і доступність інформації у сучасному світі: електронні ресурси в науці, культурі та освіті : (підсумки 10-ї Міжнар. конф. „Крим-</w:t>
            </w:r>
            <w:smartTag w:uri="urn:schemas-microsoft-com:office:smarttags" w:element="metricconverter">
              <w:smartTagPr>
                <w:attr w:name="ProductID" w:val="2003”"/>
              </w:smartTagPr>
              <w:r w:rsidRPr="006B516A">
                <w:rPr>
                  <w:rFonts w:ascii="Times New Roman" w:eastAsia="Times New Roman" w:hAnsi="Times New Roman" w:cs="Times New Roman"/>
                  <w:snapToGrid w:val="0"/>
                  <w:sz w:val="18"/>
                  <w:szCs w:val="18"/>
                  <w:lang w:val="uk-UA" w:eastAsia="ru-RU"/>
                </w:rPr>
                <w:t>2003”</w:t>
              </w:r>
            </w:smartTag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) [Електронний ресурс] / Л. Й. Костенко, А. О. Чекмарьов, А. Г. Бровкін, І. А. Павлуша // Бібліотечний вісник — 2003. — № 4. — С. 43. — Режим доступу до журн. :</w:t>
            </w:r>
          </w:p>
          <w:p w:rsidR="006B516A" w:rsidRPr="006B516A" w:rsidRDefault="006B516A" w:rsidP="006B51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 xml:space="preserve">     </w:t>
            </w:r>
            <w:hyperlink r:id="rId25" w:history="1">
              <w:r w:rsidRPr="006B516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http://www.nbuv.gov.ua/articles/2003/03klinko.htm</w:t>
              </w:r>
            </w:hyperlink>
            <w:r w:rsidRPr="006B51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.</w:t>
            </w:r>
          </w:p>
          <w:p w:rsidR="006B516A" w:rsidRPr="006B516A" w:rsidRDefault="006B516A" w:rsidP="006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6B516A" w:rsidRDefault="006B516A" w:rsidP="00C83F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b/>
          <w:sz w:val="28"/>
          <w:szCs w:val="28"/>
          <w:lang w:val="uk-UA"/>
        </w:rPr>
        <w:t>Розділ 5. ОСНОВНІ ВИМОГИ ДО ОФОРМЛЕННЯ КУРСОВОЇ РОБОТИ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До оформлення курсової роботи пред'являється ряд загальних вимог: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Обсяг курсової роботи: 35-4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сторінок (починаючи з титульного аркуша і закінчуючи списком літературних джерел. Додатки не враховуються).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Курсова робота починається з титульного листа, який оформляється відповідним чином (див. зразок титульного аркуша 1).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Робота повинна бути набрана на комп’ютері та роздрукованою на принтері. Для цього використовують папір формату А4 (210х297 мм).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Мова курсової роботи: українська.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Шрифт - Times New Roman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Міжрядковий інтервал - 1,5,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Розмір шрифту - 14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Розміри берегів: зліва – 25 мм, справа – 15 мм,  верхній і нижній – по 20 мм.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Відступ абзацу – 1,25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Нумерація сторінок виконується у правому верхньому куті. Нумеруються усі сторінки, крім титульного листа, але завжди вважають, що титульний аркуш — сторінка номер 1, наступна сторінка з Планом повинна мати номер 2 і т. д.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Додатки позначаються літерами (напр. Додаток А, Додаток Б и т.п.) оформлюються після списку використаних джерел обов’язково  з посиланням на Додатки у тексті.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Отже курсова робота складається з: титульного аркушу, плану, 2-ох розділів, висновків, списку літературних джерел, додатків.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Кожна нова частина курсової роботи, а саме ПЛАН, ВСТУП, РОЗДІЛ 1, РОЗДІЛ 2, ВИСНОВКИ, СПИСОК ЛІТЕРАТУРНИХ ДЖЕРЕЛ починаються з нового аркушу, великими літерами. Відступ від назви частин до тексту = 2-ом відступам. Відступ від розділу 1 або 2 до підпунктів = 2-ом відступам, а від підпунктів розділу до тексту = 1-му відступу.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Приклад планів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План курсової роботи емпіричного характеру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Розділ І. Аналіз літературних джерел по обраній темі.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1.1.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1.2.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1.3.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Розділ ІІ. Особливості планування навчального матеріалу на рік та семестр, або Підготовка планів – конспектів уроків, або Структура та зміст навчально-методичних карток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2.1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2.2.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Список літературних джерел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Додатки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344F5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6. </w:t>
      </w:r>
      <w:r w:rsidRPr="006B516A">
        <w:rPr>
          <w:rFonts w:ascii="Times New Roman" w:hAnsi="Times New Roman" w:cs="Times New Roman"/>
          <w:b/>
          <w:sz w:val="28"/>
          <w:szCs w:val="28"/>
          <w:lang w:val="uk-UA"/>
        </w:rPr>
        <w:t>ПІДГОТОВКА ДО ЗАХИСТУ І ЗАХИСТ КУРСОВОЇ РОБОТИ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Написану чи надруковану курсову роботу слід переплести і здати на кафедру для отримання дозволу на захист роботи.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Готуючись до захисту курсової роботи, студент складає тези або конспект виступу обсягом 5—6 сторінок. В них він повинен коротко обґрунтувати актуа</w:t>
      </w:r>
      <w:r w:rsidR="006344F5">
        <w:rPr>
          <w:rFonts w:ascii="Times New Roman" w:hAnsi="Times New Roman" w:cs="Times New Roman"/>
          <w:sz w:val="28"/>
          <w:szCs w:val="28"/>
          <w:lang w:val="uk-UA"/>
        </w:rPr>
        <w:t>льність теми, ознайомити із зав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>даннями, методами, організацією та основними результатами досліджень. При викладанні матеріалів дослідження студент повинен чітко володіти текстом.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При підготовці до захисту курсової роботи студент повинен також підготувати ілюстративний матеріал (малюнки, таблиці, схеми, тощо), розміри якого б дозволяли зоровому сприйняттю з будь-якої точки аудиторії.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Захист курсової роботи проводиться відкрито (можлива присутність викладачів кафедри) при обов'язковій участі наукового керівника і в присутності студентів курсу чи академічної групи. Після доповіді (приблизно 8-10 хв.) студент повинен чітко відповісти на поставлені запитання.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При оцінці курсової роботи керівник враховує: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якість роботи, правильність і глибину викладення матеріалу теми, відповідність змісту назві теми;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чіткість і конкретність постановки завдань та вибір сучасних методів дослідження;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методичний рівень, літературне опрацювання (кількість праць), грамотність та культуру оформлення роботи;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якість доповіді: уміння коротко, чітко обґрунтовувати актуальність теми, здібність швидко та зрозуміло відповісти на поставлені запитання;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ступінь самостійності при виконанні роботи;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ab/>
        <w:t>глибину знань, правильність виконання і чіткість ілюстрацій.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результатів захисту робота оцінюється диференційованою оцінкою за бальною системою, а саме:  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 -оцінка «задовільно» - (Е - 60-63 бали; D-64-73) виставляється тим студентам, які правильно та досить переконливо розкрили основні питання теми;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 xml:space="preserve">-оцінку «добре» — (C – 74-81 бали; В-82-89) отримують студенти, які  виконали курсову роботу  на високому рівні,  повно і всебічно висвітлені питання теми, включено фактичний матеріал дослідження, наявні ілюстрації; 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-оцінка «відмінно» — ( А – 90-100)  крім вищесказаного, має місце самостійний аналіз фактичного матеріалу, узагальнення пере</w:t>
      </w:r>
      <w:r w:rsidR="006344F5">
        <w:rPr>
          <w:rFonts w:ascii="Times New Roman" w:hAnsi="Times New Roman" w:cs="Times New Roman"/>
          <w:sz w:val="28"/>
          <w:szCs w:val="28"/>
          <w:lang w:val="uk-UA"/>
        </w:rPr>
        <w:t>дового педагогічного досвіду ро</w:t>
      </w:r>
      <w:r w:rsidRPr="006B516A">
        <w:rPr>
          <w:rFonts w:ascii="Times New Roman" w:hAnsi="Times New Roman" w:cs="Times New Roman"/>
          <w:sz w:val="28"/>
          <w:szCs w:val="28"/>
          <w:lang w:val="uk-UA"/>
        </w:rPr>
        <w:t>боти, результати власного педагогічного експерименту (опрацьовані за допомогою методів математичної статистики), методичні рекомендації для теорії і практики фізичного виховання.</w:t>
      </w:r>
    </w:p>
    <w:p w:rsidR="006B516A" w:rsidRP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Оцінка за курсову роботу виставляється в екзаменаційну відомість та залікову книжку і вважається як оцінка, яка отримана на екзаменах.</w:t>
      </w:r>
    </w:p>
    <w:p w:rsidR="006B516A" w:rsidRDefault="006B516A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6A">
        <w:rPr>
          <w:rFonts w:ascii="Times New Roman" w:hAnsi="Times New Roman" w:cs="Times New Roman"/>
          <w:sz w:val="28"/>
          <w:szCs w:val="28"/>
          <w:lang w:val="uk-UA"/>
        </w:rPr>
        <w:t>Студент, який не захистив курсову роботу у визначений строк (без поважної причини), вважається академічним боржником і не допускається до складання комплексного державного іспиту.</w:t>
      </w: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4F5" w:rsidRDefault="006344F5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44F5" w:rsidRDefault="006344F5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44F5" w:rsidRDefault="006344F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CB5" w:rsidRDefault="00713CB5" w:rsidP="00713CB5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984" w:rsidRPr="009B2984" w:rsidRDefault="009B2984" w:rsidP="009B2984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298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Додаток 1</w:t>
      </w: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3AE">
        <w:rPr>
          <w:rFonts w:ascii="Times New Roman" w:hAnsi="Times New Roman" w:cs="Times New Roman"/>
          <w:b/>
          <w:sz w:val="28"/>
          <w:lang w:val="uk-UA"/>
        </w:rPr>
        <w:t>ПЗВО «МІЖНАРОДНИЙ КЛАСИЧНИЙ УНІВЕРСИТЕТ</w:t>
      </w:r>
    </w:p>
    <w:p w:rsidR="009B2984" w:rsidRPr="001923AE" w:rsidRDefault="009B2984" w:rsidP="009B2984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923AE">
        <w:rPr>
          <w:rFonts w:ascii="Times New Roman" w:hAnsi="Times New Roman" w:cs="Times New Roman"/>
          <w:b/>
          <w:sz w:val="28"/>
          <w:lang w:val="uk-UA"/>
        </w:rPr>
        <w:t>ІМЕНІ ПИЛИПА ОРЛИКА»</w:t>
      </w:r>
    </w:p>
    <w:p w:rsidR="009B2984" w:rsidRDefault="009B2984" w:rsidP="006B516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9B2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РОБОТА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з дисципліни «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</w:t>
      </w: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sz w:val="24"/>
          <w:szCs w:val="24"/>
          <w:lang w:val="uk-UA"/>
        </w:rPr>
        <w:t>на тему: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29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«НАЗВА ТЕМИ ВЕЛИКИМИ ЛІТЕРАМИ НАПІВЖИРНИМ ШРИФТОМ»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Студента (ки) _____ курсу ______ групи</w:t>
      </w:r>
    </w:p>
    <w:p w:rsidR="009B2984" w:rsidRPr="009B2984" w:rsidRDefault="009B2984" w:rsidP="009B2984">
      <w:pPr>
        <w:tabs>
          <w:tab w:val="left" w:pos="5220"/>
        </w:tabs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напряму підготовки ____________________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спеціальності ___________________________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_______________________________________</w:t>
      </w:r>
    </w:p>
    <w:p w:rsidR="009B2984" w:rsidRPr="009B2984" w:rsidRDefault="009B2984" w:rsidP="009B2984">
      <w:pPr>
        <w:spacing w:after="0" w:line="240" w:lineRule="auto"/>
        <w:ind w:left="2160" w:firstLine="708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(прізвище та ініціали)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Керівник _____________________________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(посада, вчене звання, науковий ступінь, прізвище та ініціали)   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Національна шкала ______________________    </w:t>
      </w:r>
    </w:p>
    <w:p w:rsidR="009B2984" w:rsidRPr="009B2984" w:rsidRDefault="009B2984" w:rsidP="009B2984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Кількість балів: _________________________ </w:t>
      </w:r>
    </w:p>
    <w:p w:rsidR="009B2984" w:rsidRPr="009B2984" w:rsidRDefault="009B2984" w:rsidP="009B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Члени комісії          _________     </w:t>
      </w: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__________________</w:t>
      </w:r>
    </w:p>
    <w:p w:rsidR="009B2984" w:rsidRPr="009B2984" w:rsidRDefault="009B2984" w:rsidP="009B2984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(підпис)                (прізвище та ініціали)</w:t>
      </w:r>
      <w:r w:rsidRPr="009B2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_________      </w:t>
      </w: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_________________</w:t>
      </w:r>
    </w:p>
    <w:p w:rsidR="009B2984" w:rsidRPr="009B2984" w:rsidRDefault="009B2984" w:rsidP="009B2984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(підпис)                (прізвище та ініціали)</w:t>
      </w:r>
    </w:p>
    <w:p w:rsidR="009B2984" w:rsidRPr="009B2984" w:rsidRDefault="009B2984" w:rsidP="009B2984">
      <w:pPr>
        <w:spacing w:after="0" w:line="240" w:lineRule="auto"/>
        <w:ind w:left="3420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9B298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                                                                              </w:t>
      </w: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P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B2984" w:rsidRDefault="009B2984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t>Миколаїв 20____</w:t>
      </w:r>
    </w:p>
    <w:p w:rsidR="00F119C0" w:rsidRDefault="00F119C0" w:rsidP="00F119C0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298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:rsidR="00E60824" w:rsidRPr="00E60824" w:rsidRDefault="00E60824" w:rsidP="00E60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  <w:lang w:val="uk-UA"/>
        </w:rPr>
      </w:pPr>
      <w:r w:rsidRPr="00E60824">
        <w:rPr>
          <w:rFonts w:ascii="Times New Roman" w:eastAsia="Calibri" w:hAnsi="Times New Roman" w:cs="Times New Roman"/>
          <w:b/>
          <w:sz w:val="18"/>
          <w:szCs w:val="24"/>
          <w:lang w:val="uk-UA"/>
        </w:rPr>
        <w:t xml:space="preserve">ОРІЄНТОВНІ ТЕМИ КУРСОВИХ РОБІТ </w:t>
      </w: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uk-UA"/>
        </w:rPr>
      </w:pP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E60824">
        <w:rPr>
          <w:rFonts w:ascii="Times New Roman" w:eastAsia="Calibri" w:hAnsi="Times New Roman" w:cs="Times New Roman"/>
          <w:sz w:val="24"/>
          <w:szCs w:val="28"/>
          <w:lang w:val="uk-UA"/>
        </w:rPr>
        <w:t>Історія виникнення та сучасні аспекти фізичної реабілітації на території України</w:t>
      </w:r>
      <w:r w:rsidRPr="00E60824">
        <w:rPr>
          <w:rFonts w:ascii="Times New Roman" w:eastAsia="Calibri" w:hAnsi="Times New Roman" w:cs="Times New Roman"/>
          <w:szCs w:val="24"/>
          <w:lang w:val="uk-UA"/>
        </w:rPr>
        <w:t xml:space="preserve"> 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uk-UA"/>
        </w:rPr>
      </w:pPr>
      <w:r w:rsidRPr="00E60824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Основи фізичної реабілітації при захворюваннях нервової системи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порушеннях постави та сколіозах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ішемічній хворобі серця.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гіпертонічній хворобі.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гіпотонічній хворобі.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8"/>
          <w:lang w:val="uk-UA"/>
        </w:rPr>
        <w:t>Організація комплексної (фізичної та психологічної) реабілітації при травмах та запальних захворюваннях колінних суглобів у спортсменів.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вроджених і набутих вадах серця.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 xml:space="preserve">Фізична реабілітація при </w:t>
      </w:r>
      <w:r w:rsidRPr="00E60824">
        <w:rPr>
          <w:rFonts w:ascii="Times New Roman" w:eastAsia="Calibri" w:hAnsi="Times New Roman" w:cs="Times New Roman"/>
          <w:sz w:val="24"/>
          <w:szCs w:val="24"/>
          <w:lang w:val="uk-UA"/>
        </w:rPr>
        <w:t>грижах у грудному відділі</w:t>
      </w:r>
      <w:r w:rsidRPr="00E60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бронхіті і бронхоектатичної хвороби.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Формування рухових компенсацій з допомогою фізичних вправ, масажу, електростимуляції та ортопедичних апаратів при стійких порушеннях рухових функцій ОРА.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пошкодженнях м'яких тканин.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переломах кісток плечового пояса.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травмах гомілковостопного суглоба.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травмах плечового суглоба.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травмах колінного суглоба.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переломах хребта.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переломах кісток тазу.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спортсменів після травм опорно-рухового апарату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ожирінні.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ампутації кінцівок.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Організація фізичної реабілітації при дитячому церебральному паралічі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Особливості фізичної реабілітації при ендопротезуванні.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Особливості фізичної реабілітації при травмах в дитячому віці.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Особливості фізичної реабілітації у дітей раннього віку.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поздовжньому і поперечному плоскостопості.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патології кульшових суглобів у дітей.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грижах, особливо у дітей.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переломах шийки стегна, особливо у дітей і літніх осіб.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дисфункції кишечника.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артрозах кульшового, колінного та плечового суглобів.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м'язовій кривошиї.</w:t>
      </w:r>
    </w:p>
    <w:p w:rsidR="00E60824" w:rsidRPr="00E60824" w:rsidRDefault="00E60824" w:rsidP="00E608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24">
        <w:rPr>
          <w:rFonts w:ascii="Times New Roman" w:eastAsia="Calibri" w:hAnsi="Times New Roman" w:cs="Times New Roman"/>
          <w:sz w:val="24"/>
          <w:szCs w:val="24"/>
        </w:rPr>
        <w:t>Фізична реабілітація при вродженій клишоногості.</w:t>
      </w: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824" w:rsidRPr="00E60824" w:rsidRDefault="00E60824" w:rsidP="00E60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19C0" w:rsidRPr="009B2984" w:rsidRDefault="00F119C0" w:rsidP="009B29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sectPr w:rsidR="00F119C0" w:rsidRPr="009B2984" w:rsidSect="001923AE">
      <w:headerReference w:type="default" r:id="rId2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D7" w:rsidRDefault="002635D7" w:rsidP="009B2984">
      <w:pPr>
        <w:spacing w:after="0" w:line="240" w:lineRule="auto"/>
      </w:pPr>
      <w:r>
        <w:separator/>
      </w:r>
    </w:p>
  </w:endnote>
  <w:endnote w:type="continuationSeparator" w:id="0">
    <w:p w:rsidR="002635D7" w:rsidRDefault="002635D7" w:rsidP="009B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D7" w:rsidRDefault="002635D7" w:rsidP="009B2984">
      <w:pPr>
        <w:spacing w:after="0" w:line="240" w:lineRule="auto"/>
      </w:pPr>
      <w:r>
        <w:separator/>
      </w:r>
    </w:p>
  </w:footnote>
  <w:footnote w:type="continuationSeparator" w:id="0">
    <w:p w:rsidR="002635D7" w:rsidRDefault="002635D7" w:rsidP="009B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517137"/>
      <w:docPartObj>
        <w:docPartGallery w:val="Page Numbers (Top of Page)"/>
        <w:docPartUnique/>
      </w:docPartObj>
    </w:sdtPr>
    <w:sdtEndPr/>
    <w:sdtContent>
      <w:p w:rsidR="009B2984" w:rsidRDefault="009B298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CB5">
          <w:rPr>
            <w:noProof/>
          </w:rPr>
          <w:t>23</w:t>
        </w:r>
        <w:r>
          <w:fldChar w:fldCharType="end"/>
        </w:r>
      </w:p>
    </w:sdtContent>
  </w:sdt>
  <w:p w:rsidR="009B2984" w:rsidRDefault="009B2984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CDCA54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53A77A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22BA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8EC0E6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2582D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071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7347EFB"/>
    <w:multiLevelType w:val="singleLevel"/>
    <w:tmpl w:val="9E3C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09901C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C626B5"/>
    <w:multiLevelType w:val="hybridMultilevel"/>
    <w:tmpl w:val="A29A5CC2"/>
    <w:lvl w:ilvl="0" w:tplc="FD4E63EC">
      <w:start w:val="1"/>
      <w:numFmt w:val="decimal"/>
      <w:pStyle w:val="list3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F183E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21862D3"/>
    <w:multiLevelType w:val="singleLevel"/>
    <w:tmpl w:val="1200EA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16B12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413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4D045A"/>
    <w:multiLevelType w:val="singleLevel"/>
    <w:tmpl w:val="1E04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1EBA0EB9"/>
    <w:multiLevelType w:val="hybridMultilevel"/>
    <w:tmpl w:val="52AE54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EAA"/>
    <w:multiLevelType w:val="singleLevel"/>
    <w:tmpl w:val="32346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40D3DDB"/>
    <w:multiLevelType w:val="hybridMultilevel"/>
    <w:tmpl w:val="74205482"/>
    <w:lvl w:ilvl="0" w:tplc="0474236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8A87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FA07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104176"/>
    <w:multiLevelType w:val="singleLevel"/>
    <w:tmpl w:val="278C7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2F4B1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8DA40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4A56EC"/>
    <w:multiLevelType w:val="multilevel"/>
    <w:tmpl w:val="CA7EE6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3" w15:restartNumberingAfterBreak="0">
    <w:nsid w:val="3C6A7E51"/>
    <w:multiLevelType w:val="hybridMultilevel"/>
    <w:tmpl w:val="FC38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D663E"/>
    <w:multiLevelType w:val="singleLevel"/>
    <w:tmpl w:val="61B6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3DC438CA"/>
    <w:multiLevelType w:val="hybridMultilevel"/>
    <w:tmpl w:val="9A40048A"/>
    <w:lvl w:ilvl="0" w:tplc="62ACC3BA">
      <w:start w:val="1"/>
      <w:numFmt w:val="bullet"/>
      <w:pStyle w:val="list1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8169E8"/>
    <w:multiLevelType w:val="hybridMultilevel"/>
    <w:tmpl w:val="5E729F84"/>
    <w:lvl w:ilvl="0" w:tplc="2B081D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0C17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0DE3943"/>
    <w:multiLevelType w:val="singleLevel"/>
    <w:tmpl w:val="F8464C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AC34C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A514DD"/>
    <w:multiLevelType w:val="hybridMultilevel"/>
    <w:tmpl w:val="30EE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3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8F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CD7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8E0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7A66F55"/>
    <w:multiLevelType w:val="hybridMultilevel"/>
    <w:tmpl w:val="087A770A"/>
    <w:lvl w:ilvl="0" w:tplc="590EF694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C7354B"/>
    <w:multiLevelType w:val="singleLevel"/>
    <w:tmpl w:val="95B26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B541F8B"/>
    <w:multiLevelType w:val="hybridMultilevel"/>
    <w:tmpl w:val="6582CB82"/>
    <w:lvl w:ilvl="0" w:tplc="C380BB7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2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6"/>
  </w:num>
  <w:num w:numId="11">
    <w:abstractNumId w:val="28"/>
  </w:num>
  <w:num w:numId="12">
    <w:abstractNumId w:val="22"/>
  </w:num>
  <w:num w:numId="13">
    <w:abstractNumId w:val="35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7"/>
  </w:num>
  <w:num w:numId="18">
    <w:abstractNumId w:val="34"/>
  </w:num>
  <w:num w:numId="19">
    <w:abstractNumId w:val="7"/>
  </w:num>
  <w:num w:numId="20">
    <w:abstractNumId w:val="18"/>
  </w:num>
  <w:num w:numId="21">
    <w:abstractNumId w:val="27"/>
  </w:num>
  <w:num w:numId="22">
    <w:abstractNumId w:val="13"/>
  </w:num>
  <w:num w:numId="23">
    <w:abstractNumId w:val="12"/>
  </w:num>
  <w:num w:numId="24">
    <w:abstractNumId w:val="5"/>
  </w:num>
  <w:num w:numId="25">
    <w:abstractNumId w:val="33"/>
  </w:num>
  <w:num w:numId="26">
    <w:abstractNumId w:val="9"/>
  </w:num>
  <w:num w:numId="27">
    <w:abstractNumId w:val="20"/>
  </w:num>
  <w:num w:numId="28">
    <w:abstractNumId w:val="32"/>
  </w:num>
  <w:num w:numId="29">
    <w:abstractNumId w:val="29"/>
  </w:num>
  <w:num w:numId="30">
    <w:abstractNumId w:val="31"/>
  </w:num>
  <w:num w:numId="31">
    <w:abstractNumId w:val="24"/>
  </w:num>
  <w:num w:numId="32">
    <w:abstractNumId w:val="15"/>
  </w:num>
  <w:num w:numId="33">
    <w:abstractNumId w:val="6"/>
  </w:num>
  <w:num w:numId="34">
    <w:abstractNumId w:val="19"/>
  </w:num>
  <w:num w:numId="35">
    <w:abstractNumId w:val="11"/>
  </w:num>
  <w:num w:numId="36">
    <w:abstractNumId w:val="23"/>
  </w:num>
  <w:num w:numId="37">
    <w:abstractNumId w:val="37"/>
  </w:num>
  <w:num w:numId="38">
    <w:abstractNumId w:val="21"/>
    <w:lvlOverride w:ilvl="0">
      <w:startOverride w:val="1"/>
    </w:lvlOverride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3AE"/>
    <w:rsid w:val="000D601B"/>
    <w:rsid w:val="00123464"/>
    <w:rsid w:val="001923AE"/>
    <w:rsid w:val="002635D7"/>
    <w:rsid w:val="002B3587"/>
    <w:rsid w:val="003727DA"/>
    <w:rsid w:val="00376003"/>
    <w:rsid w:val="00424B2F"/>
    <w:rsid w:val="004D3E5E"/>
    <w:rsid w:val="006344F5"/>
    <w:rsid w:val="0066462F"/>
    <w:rsid w:val="006838A9"/>
    <w:rsid w:val="006B516A"/>
    <w:rsid w:val="00713CB5"/>
    <w:rsid w:val="00742AF7"/>
    <w:rsid w:val="00764123"/>
    <w:rsid w:val="007E7614"/>
    <w:rsid w:val="007E76B0"/>
    <w:rsid w:val="00807328"/>
    <w:rsid w:val="008B32C0"/>
    <w:rsid w:val="008E6F60"/>
    <w:rsid w:val="009B2984"/>
    <w:rsid w:val="00AE3F27"/>
    <w:rsid w:val="00C70EC4"/>
    <w:rsid w:val="00C83F14"/>
    <w:rsid w:val="00CC3B53"/>
    <w:rsid w:val="00D23E88"/>
    <w:rsid w:val="00DB4643"/>
    <w:rsid w:val="00E60824"/>
    <w:rsid w:val="00F119C0"/>
    <w:rsid w:val="00F26B7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278D55F8"/>
  <w15:docId w15:val="{51098BAD-9944-4CA8-9837-F3650645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B516A"/>
    <w:pPr>
      <w:keepNext/>
      <w:suppressAutoHyphen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B516A"/>
    <w:pPr>
      <w:keepNext/>
      <w:suppressAutoHyphens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6B516A"/>
    <w:pPr>
      <w:keepNext/>
      <w:keepLines/>
      <w:suppressAutoHyphens/>
      <w:spacing w:before="120" w:after="120" w:line="240" w:lineRule="auto"/>
      <w:jc w:val="center"/>
      <w:outlineLvl w:val="2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6B516A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0">
    <w:name w:val="heading 5"/>
    <w:basedOn w:val="a0"/>
    <w:next w:val="a0"/>
    <w:link w:val="51"/>
    <w:qFormat/>
    <w:rsid w:val="006B51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B516A"/>
    <w:pPr>
      <w:keepNext/>
      <w:spacing w:after="14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B516A"/>
    <w:pPr>
      <w:keepNext/>
      <w:spacing w:before="60" w:after="0" w:line="240" w:lineRule="auto"/>
      <w:ind w:left="4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B516A"/>
    <w:pPr>
      <w:keepNext/>
      <w:spacing w:after="140" w:line="240" w:lineRule="auto"/>
      <w:jc w:val="right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B516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9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923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23AE"/>
    <w:pPr>
      <w:spacing w:after="0" w:line="240" w:lineRule="auto"/>
    </w:pPr>
  </w:style>
  <w:style w:type="table" w:styleId="a7">
    <w:name w:val="Table Grid"/>
    <w:basedOn w:val="a2"/>
    <w:uiPriority w:val="59"/>
    <w:rsid w:val="0019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a0"/>
    <w:rsid w:val="001923AE"/>
    <w:pPr>
      <w:numPr>
        <w:numId w:val="1"/>
      </w:numPr>
      <w:tabs>
        <w:tab w:val="clear" w:pos="1080"/>
        <w:tab w:val="num" w:pos="720"/>
        <w:tab w:val="left" w:pos="900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text">
    <w:name w:val="text"/>
    <w:basedOn w:val="a8"/>
    <w:link w:val="text0"/>
    <w:rsid w:val="00FF4CE5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text0">
    <w:name w:val="text Знак"/>
    <w:link w:val="text"/>
    <w:rsid w:val="00FF4CE5"/>
    <w:rPr>
      <w:rFonts w:ascii="Times New Roman" w:eastAsia="Times New Roman" w:hAnsi="Times New Roman" w:cs="Times New Roman"/>
      <w:lang w:val="uk-UA" w:eastAsia="ru-RU"/>
    </w:rPr>
  </w:style>
  <w:style w:type="paragraph" w:styleId="a8">
    <w:name w:val="Body Text Indent"/>
    <w:basedOn w:val="a0"/>
    <w:link w:val="a9"/>
    <w:unhideWhenUsed/>
    <w:rsid w:val="00FF4CE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FF4CE5"/>
  </w:style>
  <w:style w:type="paragraph" w:styleId="aa">
    <w:name w:val="List Paragraph"/>
    <w:basedOn w:val="a0"/>
    <w:uiPriority w:val="34"/>
    <w:qFormat/>
    <w:rsid w:val="00FF4CE5"/>
    <w:pPr>
      <w:ind w:left="720"/>
      <w:contextualSpacing/>
    </w:pPr>
  </w:style>
  <w:style w:type="paragraph" w:styleId="a">
    <w:name w:val="List Bullet"/>
    <w:basedOn w:val="a0"/>
    <w:unhideWhenUsed/>
    <w:rsid w:val="00FF4CE5"/>
    <w:pPr>
      <w:numPr>
        <w:numId w:val="3"/>
      </w:numPr>
      <w:contextualSpacing/>
    </w:pPr>
  </w:style>
  <w:style w:type="character" w:customStyle="1" w:styleId="10">
    <w:name w:val="Заголовок 1 Знак"/>
    <w:basedOn w:val="a1"/>
    <w:link w:val="1"/>
    <w:rsid w:val="006B516A"/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B516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6B516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1"/>
    <w:link w:val="50"/>
    <w:rsid w:val="006B51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B516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B5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B516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6B516A"/>
  </w:style>
  <w:style w:type="paragraph" w:customStyle="1" w:styleId="ab">
    <w:name w:val="абзац"/>
    <w:basedOn w:val="ac"/>
    <w:rsid w:val="006B516A"/>
    <w:pPr>
      <w:ind w:firstLine="567"/>
      <w:jc w:val="both"/>
    </w:pPr>
    <w:rPr>
      <w:rFonts w:ascii="UkrainianJournal" w:hAnsi="UkrainianJournal"/>
      <w:sz w:val="22"/>
      <w:szCs w:val="22"/>
    </w:rPr>
  </w:style>
  <w:style w:type="paragraph" w:styleId="ac">
    <w:name w:val="Normal Indent"/>
    <w:basedOn w:val="a0"/>
    <w:rsid w:val="006B51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6B516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0"/>
    <w:autoRedefine/>
    <w:rsid w:val="006B516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0"/>
    <w:autoRedefine/>
    <w:rsid w:val="006B516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Bullet 5"/>
    <w:basedOn w:val="a0"/>
    <w:autoRedefine/>
    <w:rsid w:val="006B516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rsid w:val="006B5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0"/>
    <w:link w:val="af0"/>
    <w:qFormat/>
    <w:rsid w:val="006B5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Заголовок Знак"/>
    <w:basedOn w:val="a1"/>
    <w:link w:val="af"/>
    <w:rsid w:val="006B51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footer"/>
    <w:basedOn w:val="a0"/>
    <w:link w:val="af2"/>
    <w:rsid w:val="006B5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6B516A"/>
  </w:style>
  <w:style w:type="paragraph" w:customStyle="1" w:styleId="FR1">
    <w:name w:val="FR1"/>
    <w:rsid w:val="006B516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paragraph" w:customStyle="1" w:styleId="FR2">
    <w:name w:val="FR2"/>
    <w:rsid w:val="006B516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56"/>
      <w:szCs w:val="20"/>
      <w:lang w:val="uk-UA" w:eastAsia="ru-RU"/>
    </w:rPr>
  </w:style>
  <w:style w:type="paragraph" w:customStyle="1" w:styleId="FR3">
    <w:name w:val="FR3"/>
    <w:rsid w:val="006B516A"/>
    <w:pPr>
      <w:widowControl w:val="0"/>
      <w:spacing w:before="40"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22">
    <w:name w:val="Body Text Indent 2"/>
    <w:basedOn w:val="a0"/>
    <w:link w:val="23"/>
    <w:rsid w:val="006B516A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6B516A"/>
    <w:pPr>
      <w:spacing w:after="0" w:line="240" w:lineRule="auto"/>
      <w:ind w:left="80" w:firstLine="34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6B516A"/>
    <w:pPr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6B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0"/>
    <w:link w:val="35"/>
    <w:rsid w:val="006B51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0"/>
    <w:rsid w:val="006B51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0"/>
    <w:rsid w:val="006B51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3"/>
    <w:basedOn w:val="a0"/>
    <w:rsid w:val="006B516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6B516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6B516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0"/>
    <w:rsid w:val="006B516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0"/>
    <w:rsid w:val="006B516A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6B516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6B516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7">
    <w:name w:val="Краткий обратный адрес"/>
    <w:basedOn w:val="a0"/>
    <w:rsid w:val="006B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rsid w:val="006B5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6B5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2">
    <w:name w:val="list2"/>
    <w:basedOn w:val="text"/>
    <w:rsid w:val="006B516A"/>
    <w:pPr>
      <w:numPr>
        <w:numId w:val="13"/>
      </w:numPr>
      <w:ind w:left="0" w:firstLine="709"/>
      <w:jc w:val="center"/>
    </w:pPr>
    <w:rPr>
      <w:b/>
    </w:rPr>
  </w:style>
  <w:style w:type="paragraph" w:customStyle="1" w:styleId="list3">
    <w:name w:val="list3"/>
    <w:basedOn w:val="list2"/>
    <w:rsid w:val="006B516A"/>
    <w:pPr>
      <w:numPr>
        <w:numId w:val="14"/>
      </w:numPr>
      <w:tabs>
        <w:tab w:val="left" w:pos="1080"/>
      </w:tabs>
      <w:jc w:val="both"/>
    </w:pPr>
    <w:rPr>
      <w:b w:val="0"/>
    </w:rPr>
  </w:style>
  <w:style w:type="table" w:customStyle="1" w:styleId="12">
    <w:name w:val="Сетка таблицы1"/>
    <w:basedOn w:val="a2"/>
    <w:next w:val="a7"/>
    <w:rsid w:val="006B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rsid w:val="006B5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www.nbuv.gov.ua/articles/2003/03klinko.ht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30821</Words>
  <Characters>17568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22</cp:revision>
  <dcterms:created xsi:type="dcterms:W3CDTF">2019-04-23T20:31:00Z</dcterms:created>
  <dcterms:modified xsi:type="dcterms:W3CDTF">2021-03-09T09:49:00Z</dcterms:modified>
</cp:coreProperties>
</file>