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9" w:rsidRDefault="005B52C9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\\SRV-BIG\tmp\підтвердження мишелов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C9" w:rsidRDefault="005B52C9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B52C9" w:rsidRDefault="005B52C9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D4B02" w:rsidRPr="008E6E18" w:rsidRDefault="008D4B02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8D4B02" w:rsidRDefault="008D4B02" w:rsidP="00445EFA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Вступні іспити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є складовою процесу </w:t>
      </w:r>
      <w:r>
        <w:rPr>
          <w:rFonts w:ascii="Times New Roman" w:hAnsi="Times New Roman" w:cs="Times New Roman"/>
          <w:sz w:val="28"/>
          <w:lang w:val="uk-UA"/>
        </w:rPr>
        <w:t>вступу до навчального закладу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. Перевірка знань </w:t>
      </w:r>
      <w:r>
        <w:rPr>
          <w:rFonts w:ascii="Times New Roman" w:hAnsi="Times New Roman" w:cs="Times New Roman"/>
          <w:sz w:val="28"/>
          <w:lang w:val="uk-UA"/>
        </w:rPr>
        <w:t>абітурієнтів при вступі до коледжу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має давати відомості як правильність чи неправильності кінцевого результату виконано</w:t>
      </w:r>
      <w:r>
        <w:rPr>
          <w:rFonts w:ascii="Times New Roman" w:hAnsi="Times New Roman" w:cs="Times New Roman"/>
          <w:sz w:val="28"/>
          <w:lang w:val="uk-UA"/>
        </w:rPr>
        <w:t>ї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діяльності. </w:t>
      </w:r>
      <w:r>
        <w:rPr>
          <w:rFonts w:ascii="Times New Roman" w:hAnsi="Times New Roman" w:cs="Times New Roman"/>
          <w:sz w:val="28"/>
          <w:lang w:val="uk-UA"/>
        </w:rPr>
        <w:t xml:space="preserve">Вступні іспити дозволяють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виявити рівень знань абітурієнтів з математики та </w:t>
      </w:r>
      <w:r w:rsidRPr="00C4713F">
        <w:rPr>
          <w:rFonts w:ascii="Times New Roman" w:hAnsi="Times New Roman" w:cs="Times New Roman"/>
          <w:sz w:val="28"/>
          <w:lang w:val="uk-UA"/>
        </w:rPr>
        <w:t>оцін</w:t>
      </w:r>
      <w:r>
        <w:rPr>
          <w:rFonts w:ascii="Times New Roman" w:hAnsi="Times New Roman" w:cs="Times New Roman"/>
          <w:sz w:val="28"/>
          <w:lang w:val="uk-UA"/>
        </w:rPr>
        <w:t>ити можливість подальшого навчання на рівні «молодший спеціаліст» за напрямами «Управління та адміністрування», «Архітектура та будівництво», «Сфера обслуговування», «</w:t>
      </w:r>
      <w:r w:rsidRPr="00C4713F">
        <w:rPr>
          <w:rFonts w:ascii="Times New Roman" w:hAnsi="Times New Roman" w:cs="Times New Roman"/>
          <w:sz w:val="28"/>
          <w:szCs w:val="24"/>
          <w:lang w:val="uk-UA" w:eastAsia="ru-RU"/>
        </w:rPr>
        <w:t>Інформаційні технології»</w:t>
      </w:r>
      <w:r>
        <w:rPr>
          <w:rFonts w:ascii="Times New Roman" w:hAnsi="Times New Roman" w:cs="Times New Roman"/>
          <w:sz w:val="32"/>
          <w:lang w:val="uk-UA"/>
        </w:rPr>
        <w:t xml:space="preserve">. </w:t>
      </w:r>
    </w:p>
    <w:p w:rsidR="008D4B02" w:rsidRDefault="008D4B02" w:rsidP="008D4B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4713F">
        <w:rPr>
          <w:rFonts w:ascii="Times New Roman" w:hAnsi="Times New Roman" w:cs="Times New Roman"/>
          <w:sz w:val="28"/>
          <w:lang w:val="uk-UA"/>
        </w:rPr>
        <w:t>Програма вступних випробувань для конкурсного відбору вступників для здобуття освітнього рівня «</w:t>
      </w:r>
      <w:r w:rsidR="00C4713F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C4713F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>за спеціальн</w:t>
      </w:r>
      <w:r w:rsidR="00C4713F">
        <w:rPr>
          <w:rFonts w:ascii="Times New Roman" w:hAnsi="Times New Roman" w:cs="Times New Roman"/>
          <w:sz w:val="28"/>
          <w:lang w:val="uk-UA"/>
        </w:rPr>
        <w:t>остями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 </w:t>
      </w:r>
      <w:r w:rsidR="00C4713F">
        <w:rPr>
          <w:rFonts w:ascii="Times New Roman" w:hAnsi="Times New Roman" w:cs="Times New Roman"/>
          <w:sz w:val="28"/>
          <w:lang w:val="uk-UA"/>
        </w:rPr>
        <w:t>«Облік та оподаткування», «Маркетинг», «Підприємництво, торгівля, біржова діяльність», «Фінанси, банківська справа та страхування», «Комп</w:t>
      </w:r>
      <w:r w:rsidR="00C4713F" w:rsidRPr="008D4B02">
        <w:rPr>
          <w:rFonts w:ascii="Times New Roman" w:hAnsi="Times New Roman" w:cs="Times New Roman"/>
          <w:sz w:val="28"/>
          <w:lang w:val="uk-UA"/>
        </w:rPr>
        <w:t>’</w:t>
      </w:r>
      <w:r w:rsidR="00C4713F">
        <w:rPr>
          <w:rFonts w:ascii="Times New Roman" w:hAnsi="Times New Roman" w:cs="Times New Roman"/>
          <w:sz w:val="28"/>
          <w:lang w:val="uk-UA"/>
        </w:rPr>
        <w:t>ютерна інженерія», «Геодезія та землеустрій», «Готельно-ресторанна справа»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на основі </w:t>
      </w:r>
      <w:r w:rsidR="00C4713F">
        <w:rPr>
          <w:rFonts w:ascii="Times New Roman" w:hAnsi="Times New Roman" w:cs="Times New Roman"/>
          <w:sz w:val="28"/>
          <w:lang w:val="uk-UA"/>
        </w:rPr>
        <w:t>базової загальної середньої освіти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включає в себе загальні питання з курсу </w:t>
      </w:r>
      <w:r w:rsidR="002108B9">
        <w:rPr>
          <w:rFonts w:ascii="Times New Roman" w:hAnsi="Times New Roman" w:cs="Times New Roman"/>
          <w:sz w:val="28"/>
          <w:lang w:val="uk-UA"/>
        </w:rPr>
        <w:t xml:space="preserve">математики </w:t>
      </w:r>
      <w:r w:rsidR="00C4713F">
        <w:rPr>
          <w:rFonts w:ascii="Times New Roman" w:hAnsi="Times New Roman" w:cs="Times New Roman"/>
          <w:sz w:val="28"/>
          <w:lang w:val="uk-UA"/>
        </w:rPr>
        <w:t>9</w:t>
      </w:r>
      <w:r w:rsidR="002108B9" w:rsidRPr="002108B9">
        <w:rPr>
          <w:rFonts w:ascii="Times New Roman" w:hAnsi="Times New Roman" w:cs="Times New Roman"/>
          <w:sz w:val="28"/>
          <w:lang w:val="uk-UA"/>
        </w:rPr>
        <w:t>-11</w:t>
      </w:r>
      <w:r w:rsidR="00C4713F">
        <w:rPr>
          <w:rFonts w:ascii="Times New Roman" w:hAnsi="Times New Roman" w:cs="Times New Roman"/>
          <w:sz w:val="28"/>
          <w:lang w:val="uk-UA"/>
        </w:rPr>
        <w:t xml:space="preserve"> класів</w:t>
      </w:r>
      <w:r w:rsidRPr="00C4713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C4713F" w:rsidRDefault="008D4B02" w:rsidP="00516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86831">
        <w:rPr>
          <w:rFonts w:ascii="Times New Roman" w:hAnsi="Times New Roman" w:cs="Times New Roman"/>
          <w:sz w:val="28"/>
        </w:rPr>
        <w:t>Перелік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питань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складається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з </w:t>
      </w:r>
      <w:r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="00C4713F">
        <w:rPr>
          <w:rFonts w:ascii="Times New Roman" w:hAnsi="Times New Roman" w:cs="Times New Roman"/>
          <w:sz w:val="28"/>
          <w:lang w:val="uk-UA"/>
        </w:rPr>
        <w:t>48</w:t>
      </w:r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тестових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(по </w:t>
      </w:r>
      <w:r w:rsidR="00C4713F">
        <w:rPr>
          <w:rFonts w:ascii="Times New Roman" w:hAnsi="Times New Roman" w:cs="Times New Roman"/>
          <w:sz w:val="28"/>
          <w:lang w:val="uk-UA"/>
        </w:rPr>
        <w:t>24</w:t>
      </w:r>
      <w:r>
        <w:rPr>
          <w:rFonts w:ascii="Times New Roman" w:hAnsi="Times New Roman" w:cs="Times New Roman"/>
          <w:sz w:val="28"/>
          <w:lang w:val="uk-UA"/>
        </w:rPr>
        <w:t xml:space="preserve"> тестових питань у кожному варіанті)</w:t>
      </w:r>
      <w:r w:rsidRPr="00986831">
        <w:rPr>
          <w:rFonts w:ascii="Times New Roman" w:hAnsi="Times New Roman" w:cs="Times New Roman"/>
          <w:sz w:val="28"/>
        </w:rPr>
        <w:t>.</w:t>
      </w:r>
      <w:r w:rsidR="00516A81">
        <w:rPr>
          <w:rFonts w:ascii="Times New Roman" w:hAnsi="Times New Roman" w:cs="Times New Roman"/>
          <w:sz w:val="28"/>
          <w:lang w:val="uk-UA"/>
        </w:rPr>
        <w:t xml:space="preserve"> Т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естові завдання закритого типу </w:t>
      </w:r>
      <w:r w:rsidR="00516A81">
        <w:rPr>
          <w:rFonts w:ascii="Times New Roman" w:hAnsi="Times New Roman" w:cs="Times New Roman"/>
          <w:sz w:val="28"/>
          <w:lang w:val="uk-UA"/>
        </w:rPr>
        <w:t xml:space="preserve">з </w:t>
      </w:r>
      <w:r w:rsidR="00516A81" w:rsidRPr="00516A81">
        <w:rPr>
          <w:rFonts w:ascii="Times New Roman" w:hAnsi="Times New Roman" w:cs="Times New Roman"/>
          <w:sz w:val="28"/>
          <w:lang w:val="uk-UA"/>
        </w:rPr>
        <w:t>одніє</w:t>
      </w:r>
      <w:r w:rsidR="00516A81">
        <w:rPr>
          <w:rFonts w:ascii="Times New Roman" w:hAnsi="Times New Roman" w:cs="Times New Roman"/>
          <w:sz w:val="28"/>
          <w:lang w:val="uk-UA"/>
        </w:rPr>
        <w:t>ю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 правильн</w:t>
      </w:r>
      <w:r w:rsidR="00516A81">
        <w:rPr>
          <w:rFonts w:ascii="Times New Roman" w:hAnsi="Times New Roman" w:cs="Times New Roman"/>
          <w:sz w:val="28"/>
          <w:lang w:val="uk-UA"/>
        </w:rPr>
        <w:t xml:space="preserve">ою </w:t>
      </w:r>
      <w:r w:rsidR="00516A81" w:rsidRPr="00516A81">
        <w:rPr>
          <w:rFonts w:ascii="Times New Roman" w:hAnsi="Times New Roman" w:cs="Times New Roman"/>
          <w:sz w:val="28"/>
          <w:lang w:val="uk-UA"/>
        </w:rPr>
        <w:t>відповід</w:t>
      </w:r>
      <w:r w:rsidR="00516A81">
        <w:rPr>
          <w:rFonts w:ascii="Times New Roman" w:hAnsi="Times New Roman" w:cs="Times New Roman"/>
          <w:sz w:val="28"/>
          <w:lang w:val="uk-UA"/>
        </w:rPr>
        <w:t>дю</w:t>
      </w:r>
      <w:r w:rsidR="00516A81" w:rsidRPr="00516A81">
        <w:rPr>
          <w:rFonts w:ascii="Times New Roman" w:hAnsi="Times New Roman" w:cs="Times New Roman"/>
          <w:sz w:val="28"/>
          <w:lang w:val="uk-UA"/>
        </w:rPr>
        <w:t xml:space="preserve"> на вибір із запропонованих. Кожне із завдань вважається виконаним правильно, якщо в таблиці для відповідей до кожного завдання вказано тільки одну літеру, що, на думку </w:t>
      </w:r>
      <w:r w:rsidR="00516A81">
        <w:rPr>
          <w:rFonts w:ascii="Times New Roman" w:hAnsi="Times New Roman" w:cs="Times New Roman"/>
          <w:sz w:val="28"/>
          <w:lang w:val="uk-UA"/>
        </w:rPr>
        <w:t>абітурієнта</w:t>
      </w:r>
      <w:r w:rsidR="00516A81" w:rsidRPr="00516A81">
        <w:rPr>
          <w:rFonts w:ascii="Times New Roman" w:hAnsi="Times New Roman" w:cs="Times New Roman"/>
          <w:sz w:val="28"/>
          <w:lang w:val="uk-UA"/>
        </w:rPr>
        <w:t>, є правильним варіантом відповіді. Будь-яких міркувань</w:t>
      </w:r>
      <w:r w:rsidR="00516A81">
        <w:rPr>
          <w:rFonts w:ascii="Times New Roman" w:hAnsi="Times New Roman" w:cs="Times New Roman"/>
          <w:sz w:val="28"/>
          <w:lang w:val="uk-UA"/>
        </w:rPr>
        <w:t xml:space="preserve">, що пояснюють цей вибір, абітурієнт </w:t>
      </w:r>
      <w:r w:rsidR="00516A81" w:rsidRPr="00516A81">
        <w:rPr>
          <w:rFonts w:ascii="Times New Roman" w:hAnsi="Times New Roman" w:cs="Times New Roman"/>
          <w:sz w:val="28"/>
          <w:lang w:val="uk-UA"/>
        </w:rPr>
        <w:t>наводити не повинен.</w:t>
      </w:r>
    </w:p>
    <w:p w:rsidR="00516A81" w:rsidRPr="00516A81" w:rsidRDefault="00516A81" w:rsidP="00516A8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виконання вступного випробування відводиться 60 хвилин.</w:t>
      </w:r>
    </w:p>
    <w:p w:rsidR="00C4713F" w:rsidRDefault="00C4713F" w:rsidP="00C47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D4B02" w:rsidRPr="00C4713F" w:rsidRDefault="008D4B02" w:rsidP="00C471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16A81">
        <w:rPr>
          <w:rFonts w:ascii="Times New Roman" w:hAnsi="Times New Roman" w:cs="Times New Roman"/>
          <w:b/>
          <w:sz w:val="28"/>
          <w:lang w:val="uk-UA"/>
        </w:rPr>
        <w:t>Критерії оцінювання</w:t>
      </w:r>
    </w:p>
    <w:p w:rsidR="00C4713F" w:rsidRDefault="008D4B02" w:rsidP="00445E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E6E18">
        <w:rPr>
          <w:rFonts w:ascii="Times New Roman" w:hAnsi="Times New Roman" w:cs="Times New Roman"/>
          <w:sz w:val="28"/>
        </w:rPr>
        <w:t xml:space="preserve">Кожному </w:t>
      </w:r>
      <w:proofErr w:type="spellStart"/>
      <w:r w:rsidRPr="008E6E18">
        <w:rPr>
          <w:rFonts w:ascii="Times New Roman" w:hAnsi="Times New Roman" w:cs="Times New Roman"/>
          <w:sz w:val="28"/>
        </w:rPr>
        <w:t>вступнику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E6E18">
        <w:rPr>
          <w:rFonts w:ascii="Times New Roman" w:hAnsi="Times New Roman" w:cs="Times New Roman"/>
          <w:sz w:val="28"/>
        </w:rPr>
        <w:t>опрацювання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надається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2</w:t>
      </w:r>
      <w:r w:rsidR="00C4713F">
        <w:rPr>
          <w:rFonts w:ascii="Times New Roman" w:hAnsi="Times New Roman" w:cs="Times New Roman"/>
          <w:sz w:val="28"/>
          <w:lang w:val="uk-UA"/>
        </w:rPr>
        <w:t>4</w:t>
      </w:r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питан</w:t>
      </w:r>
      <w:r w:rsidR="00C4713F">
        <w:rPr>
          <w:rFonts w:ascii="Times New Roman" w:hAnsi="Times New Roman" w:cs="Times New Roman"/>
          <w:sz w:val="28"/>
          <w:lang w:val="uk-UA"/>
        </w:rPr>
        <w:t>ня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. Правильна </w:t>
      </w:r>
      <w:proofErr w:type="spellStart"/>
      <w:r w:rsidRPr="008E6E18">
        <w:rPr>
          <w:rFonts w:ascii="Times New Roman" w:hAnsi="Times New Roman" w:cs="Times New Roman"/>
          <w:sz w:val="28"/>
        </w:rPr>
        <w:t>відповідь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E6E18">
        <w:rPr>
          <w:rFonts w:ascii="Times New Roman" w:hAnsi="Times New Roman" w:cs="Times New Roman"/>
          <w:sz w:val="28"/>
        </w:rPr>
        <w:t>питання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оцінюється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у </w:t>
      </w:r>
      <w:r w:rsidR="00C4713F">
        <w:rPr>
          <w:rFonts w:ascii="Times New Roman" w:hAnsi="Times New Roman" w:cs="Times New Roman"/>
          <w:sz w:val="28"/>
          <w:lang w:val="uk-UA"/>
        </w:rPr>
        <w:t>0,5</w:t>
      </w:r>
      <w:r w:rsidRPr="008E6E18">
        <w:rPr>
          <w:rFonts w:ascii="Times New Roman" w:hAnsi="Times New Roman" w:cs="Times New Roman"/>
          <w:sz w:val="28"/>
        </w:rPr>
        <w:t xml:space="preserve"> бал</w:t>
      </w:r>
      <w:r w:rsidR="00C4713F">
        <w:rPr>
          <w:rFonts w:ascii="Times New Roman" w:hAnsi="Times New Roman" w:cs="Times New Roman"/>
          <w:sz w:val="28"/>
          <w:lang w:val="uk-UA"/>
        </w:rPr>
        <w:t>и</w:t>
      </w:r>
      <w:r w:rsidRPr="008E6E18">
        <w:rPr>
          <w:rFonts w:ascii="Times New Roman" w:hAnsi="Times New Roman" w:cs="Times New Roman"/>
          <w:sz w:val="28"/>
        </w:rPr>
        <w:t xml:space="preserve">. Максимум </w:t>
      </w:r>
      <w:proofErr w:type="spellStart"/>
      <w:r w:rsidRPr="008E6E18">
        <w:rPr>
          <w:rFonts w:ascii="Times New Roman" w:hAnsi="Times New Roman" w:cs="Times New Roman"/>
          <w:sz w:val="28"/>
        </w:rPr>
        <w:t>балі</w:t>
      </w:r>
      <w:proofErr w:type="gramStart"/>
      <w:r w:rsidRPr="008E6E18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8E6E1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E6E18">
        <w:rPr>
          <w:rFonts w:ascii="Times New Roman" w:hAnsi="Times New Roman" w:cs="Times New Roman"/>
          <w:sz w:val="28"/>
        </w:rPr>
        <w:t>які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може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набрати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sz w:val="28"/>
        </w:rPr>
        <w:t>вступник</w:t>
      </w:r>
      <w:proofErr w:type="spellEnd"/>
      <w:r w:rsidRPr="008E6E18">
        <w:rPr>
          <w:rFonts w:ascii="Times New Roman" w:hAnsi="Times New Roman" w:cs="Times New Roman"/>
          <w:sz w:val="28"/>
        </w:rPr>
        <w:t xml:space="preserve"> становить </w:t>
      </w:r>
      <w:r w:rsidR="00C4713F">
        <w:rPr>
          <w:rFonts w:ascii="Times New Roman" w:hAnsi="Times New Roman" w:cs="Times New Roman"/>
          <w:sz w:val="28"/>
          <w:lang w:val="uk-UA"/>
        </w:rPr>
        <w:t>12</w:t>
      </w:r>
      <w:r w:rsidRPr="008E6E18">
        <w:rPr>
          <w:rFonts w:ascii="Times New Roman" w:hAnsi="Times New Roman" w:cs="Times New Roman"/>
          <w:sz w:val="28"/>
        </w:rPr>
        <w:t>.</w:t>
      </w:r>
    </w:p>
    <w:p w:rsidR="00445EFA" w:rsidRPr="00445EFA" w:rsidRDefault="00445EFA" w:rsidP="00445E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4B02" w:rsidRDefault="00445EFA" w:rsidP="008D4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*</w:t>
      </w:r>
      <w:r w:rsidR="008D4B02" w:rsidRPr="00B8498C">
        <w:rPr>
          <w:rFonts w:ascii="Times New Roman" w:hAnsi="Times New Roman" w:cs="Times New Roman"/>
          <w:b/>
          <w:sz w:val="28"/>
          <w:lang w:val="uk-UA"/>
        </w:rPr>
        <w:t>Зміст програми</w:t>
      </w:r>
    </w:p>
    <w:p w:rsidR="008D4B02" w:rsidRDefault="008D4B02" w:rsidP="00C471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4713F" w:rsidRPr="00C4713F" w:rsidRDefault="00C4713F" w:rsidP="00C4713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Одночлени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многочлени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многочлена на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множника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за дужки.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групування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скороченого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сума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кубів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C4713F" w:rsidRDefault="00C4713F" w:rsidP="00C4713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Раціональні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вирази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>.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степенем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одночленів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дроби.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іднесення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Тотожні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C4713F" w:rsidRDefault="00C4713F" w:rsidP="00C4713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Квадратні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b/>
          <w:sz w:val="28"/>
          <w:szCs w:val="28"/>
        </w:rPr>
        <w:t>корен</w:t>
      </w:r>
      <w:proofErr w:type="gramEnd"/>
      <w:r w:rsidRPr="00C4713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дійсні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числа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Арифметичний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Ірраціональні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числа.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дійсних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чисел.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Арифметичний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добутку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Тотожні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C4713F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b/>
          <w:sz w:val="28"/>
          <w:szCs w:val="28"/>
        </w:rPr>
        <w:t>Квадратні</w:t>
      </w:r>
      <w:proofErr w:type="spellEnd"/>
      <w:r w:rsidRPr="00C47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b/>
          <w:sz w:val="28"/>
          <w:szCs w:val="28"/>
        </w:rPr>
        <w:t>івняння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Неповні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Формула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 Теорема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ієта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тричлен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тричлена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інійні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тричлена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невід’ємним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дискримінантом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задач за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Нерівності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змінною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змінною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нерівностей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графіки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lastRenderedPageBreak/>
        <w:t>Функції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графі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Квадратична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Графічне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парність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непарність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нулі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проміжки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знакосталості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45EFA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445EFA">
        <w:rPr>
          <w:rFonts w:ascii="Times New Roman" w:hAnsi="Times New Roman" w:cs="Times New Roman"/>
          <w:b/>
          <w:sz w:val="28"/>
          <w:szCs w:val="28"/>
        </w:rPr>
        <w:t>ідовності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послідовностей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 Формула n-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члена.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Арифметична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геометрична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прогресії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члена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n 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прогресії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Нескінченна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геометрична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прогресія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прикладної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Приблизні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Відсоткові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Формула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Частота.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Чотирикутники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Паралелограм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паралелограма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ромб, квадрат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Трапеція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трапеції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Теорема Фалеса. 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45EFA">
        <w:rPr>
          <w:rFonts w:ascii="Times New Roman" w:hAnsi="Times New Roman" w:cs="Times New Roman"/>
          <w:b/>
          <w:sz w:val="28"/>
          <w:szCs w:val="28"/>
        </w:rPr>
        <w:t>Вписан</w:t>
      </w:r>
      <w:proofErr w:type="gramEnd"/>
      <w:r w:rsidRPr="00445EF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описані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чотирикутники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3F">
        <w:rPr>
          <w:rFonts w:ascii="Times New Roman" w:hAnsi="Times New Roman" w:cs="Times New Roman"/>
          <w:sz w:val="28"/>
          <w:szCs w:val="28"/>
        </w:rPr>
        <w:t xml:space="preserve">Дуга кола.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кут кола.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Градусна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дуги.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Вписаний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кут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кола,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описаного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чотирикутника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кола,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чотирикутник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трикутників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3F">
        <w:rPr>
          <w:rFonts w:ascii="Times New Roman" w:hAnsi="Times New Roman" w:cs="Times New Roman"/>
          <w:sz w:val="28"/>
          <w:szCs w:val="28"/>
        </w:rPr>
        <w:t xml:space="preserve">Синус, косинус, тангенс і </w:t>
      </w:r>
      <w:r w:rsidR="00445EFA">
        <w:rPr>
          <w:rFonts w:ascii="Times New Roman" w:hAnsi="Times New Roman" w:cs="Times New Roman"/>
          <w:sz w:val="28"/>
          <w:szCs w:val="28"/>
        </w:rPr>
        <w:t xml:space="preserve">котангенс як </w:t>
      </w:r>
      <w:proofErr w:type="spellStart"/>
      <w:r w:rsidR="00445EFA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445EFA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="00445E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45EFA">
        <w:rPr>
          <w:rFonts w:ascii="Times New Roman" w:hAnsi="Times New Roman" w:cs="Times New Roman"/>
          <w:sz w:val="28"/>
          <w:szCs w:val="28"/>
        </w:rPr>
        <w:t xml:space="preserve"> 0</w:t>
      </w:r>
      <w:r w:rsidR="00445EFA" w:rsidRPr="00445E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C4713F">
        <w:rPr>
          <w:rFonts w:ascii="Times New Roman" w:hAnsi="Times New Roman" w:cs="Times New Roman"/>
          <w:sz w:val="28"/>
          <w:szCs w:val="28"/>
        </w:rPr>
        <w:t xml:space="preserve"> до 180</w:t>
      </w:r>
      <w:r w:rsidR="00445EFA" w:rsidRPr="00445E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тригонометричними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Теореми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синусів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Формула для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чотирикутника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кут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прямокутних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трикутників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Пропорційні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прямокутному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трикутнику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Теорема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іфагора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Перпендикуляр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Синус, косинус, тангенс і котангенс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сторонами і </w:t>
      </w:r>
      <w:r w:rsidRPr="00C4713F">
        <w:rPr>
          <w:rFonts w:ascii="Times New Roman" w:hAnsi="Times New Roman" w:cs="Times New Roman"/>
          <w:sz w:val="28"/>
          <w:szCs w:val="28"/>
        </w:rPr>
        <w:lastRenderedPageBreak/>
        <w:t xml:space="preserve">кутами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синуса, косинуса, тангенса і котангенса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куті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Правильні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многокутники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многокутники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радіусів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вписаних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многокутників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многокутникі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кола.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дуги кола.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круга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Декартові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координати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площині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Прямокутна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система координат на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Формула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4713F">
        <w:rPr>
          <w:rFonts w:ascii="Times New Roman" w:hAnsi="Times New Roman" w:cs="Times New Roman"/>
          <w:sz w:val="28"/>
          <w:szCs w:val="28"/>
        </w:rPr>
        <w:t xml:space="preserve"> точками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заданими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координатами.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4713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кола. 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Вектори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площині</w:t>
      </w:r>
      <w:proofErr w:type="spellEnd"/>
    </w:p>
    <w:p w:rsidR="00C4713F" w:rsidRP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Скалярні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векторні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Поняття вектора. Модуль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вектора.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вектора.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вектора на число.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Колінеарні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вектори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Скалярний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векторів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C4713F" w:rsidRPr="00445EFA" w:rsidRDefault="00C4713F" w:rsidP="00445E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Геометричні</w:t>
      </w:r>
      <w:proofErr w:type="spellEnd"/>
      <w:r w:rsidRPr="0044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перетворення</w:t>
      </w:r>
      <w:proofErr w:type="spellEnd"/>
    </w:p>
    <w:p w:rsidR="00C4713F" w:rsidRDefault="00C4713F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 Рух (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471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3F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Паралельне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Симетрії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точки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Поворот.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Гомотетія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3F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C4713F">
        <w:rPr>
          <w:rFonts w:ascii="Times New Roman" w:hAnsi="Times New Roman" w:cs="Times New Roman"/>
          <w:sz w:val="28"/>
          <w:szCs w:val="28"/>
        </w:rPr>
        <w:t>.</w:t>
      </w:r>
    </w:p>
    <w:p w:rsidR="00445EFA" w:rsidRPr="00445EFA" w:rsidRDefault="00445EFA" w:rsidP="00445E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445EFA">
        <w:rPr>
          <w:rFonts w:ascii="Times New Roman" w:hAnsi="Times New Roman" w:cs="Times New Roman"/>
          <w:i/>
          <w:szCs w:val="28"/>
          <w:lang w:val="uk-UA"/>
        </w:rPr>
        <w:t>Програма з математики адаптована до Коледжу ПЗВО МКУ ім. П.Орлика з ВСП «Бердянський коледж Таврійського державного агротехнологічного університету»</w:t>
      </w:r>
      <w:r>
        <w:rPr>
          <w:rFonts w:ascii="Times New Roman" w:hAnsi="Times New Roman" w:cs="Times New Roman"/>
          <w:i/>
          <w:szCs w:val="28"/>
          <w:lang w:val="uk-UA"/>
        </w:rPr>
        <w:t xml:space="preserve"> </w:t>
      </w:r>
      <w:r w:rsidRPr="00445EFA">
        <w:rPr>
          <w:rFonts w:ascii="Times New Roman" w:hAnsi="Times New Roman" w:cs="Times New Roman"/>
          <w:i/>
          <w:szCs w:val="28"/>
        </w:rPr>
        <w:t>[</w:t>
      </w:r>
      <w:hyperlink r:id="rId7" w:history="1">
        <w:r w:rsidRPr="00445EFA">
          <w:rPr>
            <w:rStyle w:val="a6"/>
            <w:rFonts w:ascii="Times New Roman" w:hAnsi="Times New Roman" w:cs="Times New Roman"/>
            <w:i/>
            <w:color w:val="auto"/>
            <w:sz w:val="20"/>
            <w:u w:val="none"/>
          </w:rPr>
          <w:t>http://ua.convdocs.org/docs/index-77227.html</w:t>
        </w:r>
      </w:hyperlink>
      <w:r w:rsidRPr="00445EFA">
        <w:rPr>
          <w:rFonts w:ascii="Times New Roman" w:hAnsi="Times New Roman" w:cs="Times New Roman"/>
          <w:i/>
          <w:szCs w:val="28"/>
        </w:rPr>
        <w:t>]</w:t>
      </w:r>
    </w:p>
    <w:p w:rsidR="00445EFA" w:rsidRDefault="00445EFA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13F" w:rsidRDefault="00C4713F" w:rsidP="00445EF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5EFA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445EFA" w:rsidRPr="00445EFA" w:rsidRDefault="00445EFA" w:rsidP="00445EF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13F" w:rsidRPr="00516A81" w:rsidRDefault="00C4713F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81">
        <w:rPr>
          <w:rFonts w:ascii="Times New Roman" w:hAnsi="Times New Roman" w:cs="Times New Roman"/>
          <w:sz w:val="28"/>
          <w:szCs w:val="28"/>
          <w:lang w:val="uk-UA"/>
        </w:rPr>
        <w:t xml:space="preserve">«Алгебра» (автори А.Г.Мерзляк, В.Б.Полонський, М.С. Якір) видавництва “Гімназія” </w:t>
      </w:r>
    </w:p>
    <w:p w:rsidR="00C4713F" w:rsidRPr="002108B9" w:rsidRDefault="002108B9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“Алгебра</w:t>
      </w:r>
      <w:r w:rsidR="00C4713F" w:rsidRPr="00516A81">
        <w:rPr>
          <w:rFonts w:ascii="Times New Roman" w:hAnsi="Times New Roman" w:cs="Times New Roman"/>
          <w:sz w:val="28"/>
          <w:szCs w:val="28"/>
          <w:lang w:val="uk-UA"/>
        </w:rPr>
        <w:t xml:space="preserve">” (автори </w:t>
      </w:r>
      <w:proofErr w:type="spellStart"/>
      <w:r w:rsidR="00C4713F" w:rsidRPr="00516A81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C4713F" w:rsidRPr="00516A81">
        <w:rPr>
          <w:rFonts w:ascii="Times New Roman" w:hAnsi="Times New Roman" w:cs="Times New Roman"/>
          <w:sz w:val="28"/>
          <w:szCs w:val="28"/>
          <w:lang w:val="uk-UA"/>
        </w:rPr>
        <w:t xml:space="preserve"> Г.П. і </w:t>
      </w:r>
      <w:proofErr w:type="spellStart"/>
      <w:r w:rsidR="00C4713F" w:rsidRPr="00516A81">
        <w:rPr>
          <w:rFonts w:ascii="Times New Roman" w:hAnsi="Times New Roman" w:cs="Times New Roman"/>
          <w:sz w:val="28"/>
          <w:szCs w:val="28"/>
          <w:lang w:val="uk-UA"/>
        </w:rPr>
        <w:t>Бевз</w:t>
      </w:r>
      <w:proofErr w:type="spellEnd"/>
      <w:r w:rsidR="00C4713F" w:rsidRPr="00516A81">
        <w:rPr>
          <w:rFonts w:ascii="Times New Roman" w:hAnsi="Times New Roman" w:cs="Times New Roman"/>
          <w:sz w:val="28"/>
          <w:szCs w:val="28"/>
          <w:lang w:val="uk-UA"/>
        </w:rPr>
        <w:t xml:space="preserve"> В.Г.) видав</w:t>
      </w:r>
      <w:r>
        <w:rPr>
          <w:rFonts w:ascii="Times New Roman" w:hAnsi="Times New Roman" w:cs="Times New Roman"/>
          <w:sz w:val="28"/>
          <w:szCs w:val="28"/>
          <w:lang w:val="uk-UA"/>
        </w:rPr>
        <w:t>ництва “Зодіак - ЕКО”, «Алгебра</w:t>
      </w:r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 xml:space="preserve">» (автори Кравчук В., Підручна М., </w:t>
      </w:r>
      <w:proofErr w:type="spellStart"/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 xml:space="preserve"> Г.М.) видавництва «Підручники і посібники»</w:t>
      </w:r>
    </w:p>
    <w:p w:rsidR="00C4713F" w:rsidRPr="002108B9" w:rsidRDefault="002108B9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«Алгебра</w:t>
      </w:r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>» (автори Мальований Ю. І., Литвиненко Г.М., Возняк Г.М.) видавництва «Навчальна книга – Богдан»</w:t>
      </w:r>
    </w:p>
    <w:p w:rsidR="00C4713F" w:rsidRPr="002108B9" w:rsidRDefault="002108B9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“Геометрія</w:t>
      </w:r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>” (автори А.Г.Мерзляк, В.Б.Полонський, М.С. Якір) видавництва “Гімназія”</w:t>
      </w:r>
    </w:p>
    <w:p w:rsidR="00C4713F" w:rsidRPr="002108B9" w:rsidRDefault="002108B9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“Геометрія</w:t>
      </w:r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 xml:space="preserve">” (автори Бурда М.І., </w:t>
      </w:r>
      <w:proofErr w:type="spellStart"/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 w:rsidR="00C4713F" w:rsidRPr="002108B9">
        <w:rPr>
          <w:rFonts w:ascii="Times New Roman" w:hAnsi="Times New Roman" w:cs="Times New Roman"/>
          <w:sz w:val="28"/>
          <w:szCs w:val="28"/>
          <w:lang w:val="uk-UA"/>
        </w:rPr>
        <w:t xml:space="preserve"> Н.А.) видавництва “Зодіак - ЕКО”</w:t>
      </w:r>
    </w:p>
    <w:p w:rsidR="00C4713F" w:rsidRPr="002108B9" w:rsidRDefault="00C4713F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8B9">
        <w:rPr>
          <w:rFonts w:ascii="Times New Roman" w:hAnsi="Times New Roman" w:cs="Times New Roman"/>
          <w:sz w:val="28"/>
          <w:szCs w:val="28"/>
          <w:lang w:val="uk-UA"/>
        </w:rPr>
        <w:t>“Геометрія</w:t>
      </w:r>
      <w:r w:rsidR="002108B9" w:rsidRPr="00210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8B9">
        <w:rPr>
          <w:rFonts w:ascii="Times New Roman" w:hAnsi="Times New Roman" w:cs="Times New Roman"/>
          <w:sz w:val="28"/>
          <w:szCs w:val="28"/>
          <w:lang w:val="uk-UA"/>
        </w:rPr>
        <w:t>” (автор Апостолова Г.В.) видавництва “Ґенеза”</w:t>
      </w:r>
    </w:p>
    <w:p w:rsidR="00C4713F" w:rsidRPr="000B2571" w:rsidRDefault="00C4713F" w:rsidP="00445EFA">
      <w:pPr>
        <w:pStyle w:val="a3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08B9">
        <w:rPr>
          <w:rFonts w:ascii="Times New Roman" w:hAnsi="Times New Roman" w:cs="Times New Roman"/>
          <w:sz w:val="28"/>
          <w:szCs w:val="28"/>
          <w:lang w:val="uk-UA"/>
        </w:rPr>
        <w:t>„Геометрія</w:t>
      </w:r>
      <w:proofErr w:type="spellEnd"/>
      <w:r w:rsidRPr="002108B9">
        <w:rPr>
          <w:rFonts w:ascii="Times New Roman" w:hAnsi="Times New Roman" w:cs="Times New Roman"/>
          <w:sz w:val="28"/>
          <w:szCs w:val="28"/>
          <w:lang w:val="uk-UA"/>
        </w:rPr>
        <w:t xml:space="preserve">” (автори А.П.Єршова, В.В.Голобородько, </w:t>
      </w:r>
      <w:r w:rsidRPr="000B2571">
        <w:rPr>
          <w:rFonts w:ascii="Times New Roman" w:hAnsi="Times New Roman" w:cs="Times New Roman"/>
          <w:sz w:val="28"/>
          <w:szCs w:val="28"/>
          <w:lang w:val="uk-UA"/>
        </w:rPr>
        <w:t>О.Ф.</w:t>
      </w:r>
      <w:proofErr w:type="spellStart"/>
      <w:r w:rsidRPr="000B2571">
        <w:rPr>
          <w:rFonts w:ascii="Times New Roman" w:hAnsi="Times New Roman" w:cs="Times New Roman"/>
          <w:sz w:val="28"/>
          <w:szCs w:val="28"/>
          <w:lang w:val="uk-UA"/>
        </w:rPr>
        <w:t>Крижановський</w:t>
      </w:r>
      <w:proofErr w:type="spellEnd"/>
      <w:r w:rsidRPr="000B2571">
        <w:rPr>
          <w:rFonts w:ascii="Times New Roman" w:hAnsi="Times New Roman" w:cs="Times New Roman"/>
          <w:sz w:val="28"/>
          <w:szCs w:val="28"/>
          <w:lang w:val="uk-UA"/>
        </w:rPr>
        <w:t>, С.В.Єршова) видавництва «Ранок».</w:t>
      </w:r>
    </w:p>
    <w:p w:rsidR="008D4B02" w:rsidRPr="000B2571" w:rsidRDefault="008D4B02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B02" w:rsidRPr="000B2571" w:rsidRDefault="008D4B02" w:rsidP="00C471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B02" w:rsidRPr="008D4B02" w:rsidRDefault="008D4B02" w:rsidP="008D4B02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sectPr w:rsidR="008D4B02" w:rsidRPr="008D4B02" w:rsidSect="008D4B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6199"/>
    <w:multiLevelType w:val="hybridMultilevel"/>
    <w:tmpl w:val="CA82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E62"/>
    <w:multiLevelType w:val="hybridMultilevel"/>
    <w:tmpl w:val="9494815C"/>
    <w:lvl w:ilvl="0" w:tplc="331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111C3"/>
    <w:multiLevelType w:val="hybridMultilevel"/>
    <w:tmpl w:val="2EC45C52"/>
    <w:lvl w:ilvl="0" w:tplc="331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02"/>
    <w:rsid w:val="000B2571"/>
    <w:rsid w:val="002108B9"/>
    <w:rsid w:val="00445EFA"/>
    <w:rsid w:val="00516A81"/>
    <w:rsid w:val="005B52C9"/>
    <w:rsid w:val="008D4B02"/>
    <w:rsid w:val="00C153D7"/>
    <w:rsid w:val="00C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02"/>
    <w:pPr>
      <w:spacing w:after="0" w:line="240" w:lineRule="auto"/>
    </w:pPr>
  </w:style>
  <w:style w:type="table" w:styleId="a4">
    <w:name w:val="Table Grid"/>
    <w:basedOn w:val="a1"/>
    <w:uiPriority w:val="59"/>
    <w:rsid w:val="008D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4B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02"/>
    <w:pPr>
      <w:spacing w:after="0" w:line="240" w:lineRule="auto"/>
    </w:pPr>
  </w:style>
  <w:style w:type="table" w:styleId="a4">
    <w:name w:val="Table Grid"/>
    <w:basedOn w:val="a1"/>
    <w:uiPriority w:val="59"/>
    <w:rsid w:val="008D4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4B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5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a.convdocs.org/docs/index-772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6</cp:revision>
  <cp:lastPrinted>2020-04-29T07:19:00Z</cp:lastPrinted>
  <dcterms:created xsi:type="dcterms:W3CDTF">2019-06-29T19:04:00Z</dcterms:created>
  <dcterms:modified xsi:type="dcterms:W3CDTF">2020-04-29T08:58:00Z</dcterms:modified>
</cp:coreProperties>
</file>