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7E12" w:rsidRDefault="007C7E12" w:rsidP="00BB4080">
      <w:pPr>
        <w:suppressAutoHyphens/>
        <w:jc w:val="center"/>
        <w:rPr>
          <w:rFonts w:ascii="Times New Roman" w:hAnsi="Times New Roman" w:cs="Times New Roman"/>
          <w:b/>
          <w:sz w:val="32"/>
          <w:szCs w:val="32"/>
          <w:lang w:val="en-US" w:eastAsia="ar-S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7419A05" wp14:editId="0ABE9C71">
            <wp:simplePos x="0" y="0"/>
            <wp:positionH relativeFrom="column">
              <wp:posOffset>-625475</wp:posOffset>
            </wp:positionH>
            <wp:positionV relativeFrom="paragraph">
              <wp:posOffset>-315595</wp:posOffset>
            </wp:positionV>
            <wp:extent cx="7572375" cy="10504805"/>
            <wp:effectExtent l="0" t="0" r="9525" b="0"/>
            <wp:wrapTight wrapText="bothSides">
              <wp:wrapPolygon edited="0">
                <wp:start x="0" y="0"/>
                <wp:lineTo x="0" y="21544"/>
                <wp:lineTo x="21573" y="21544"/>
                <wp:lineTo x="215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50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0A" w:rsidRDefault="009F740A" w:rsidP="00BB40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9264" behindDoc="1" locked="0" layoutInCell="1" allowOverlap="1" wp14:anchorId="265ACCDB" wp14:editId="0471A802">
            <wp:simplePos x="0" y="0"/>
            <wp:positionH relativeFrom="column">
              <wp:posOffset>-635000</wp:posOffset>
            </wp:positionH>
            <wp:positionV relativeFrom="paragraph">
              <wp:posOffset>-259715</wp:posOffset>
            </wp:positionV>
            <wp:extent cx="7579360" cy="10515600"/>
            <wp:effectExtent l="0" t="0" r="2540" b="0"/>
            <wp:wrapTight wrapText="bothSides">
              <wp:wrapPolygon edited="0">
                <wp:start x="0" y="0"/>
                <wp:lineTo x="0" y="21561"/>
                <wp:lineTo x="21553" y="21561"/>
                <wp:lineTo x="215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360" cy="10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40A" w:rsidRDefault="009F740A" w:rsidP="00BB40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F740A" w:rsidRDefault="009F740A" w:rsidP="00BB408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B4080" w:rsidRPr="00BB4080" w:rsidRDefault="00BB4080" w:rsidP="00BB4080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</w:pPr>
      <w:r w:rsidRPr="00BB4080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  <w:t>ПЕРЕДМОВА</w:t>
      </w:r>
    </w:p>
    <w:p w:rsidR="00BB4080" w:rsidRPr="00BB4080" w:rsidRDefault="00BB4080" w:rsidP="00BB4080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</w:pPr>
    </w:p>
    <w:p w:rsidR="00BB4080" w:rsidRPr="00BB4080" w:rsidRDefault="00BB4080" w:rsidP="00BB4080">
      <w:pPr>
        <w:numPr>
          <w:ilvl w:val="0"/>
          <w:numId w:val="12"/>
        </w:numPr>
        <w:spacing w:after="200" w:line="360" w:lineRule="auto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</w:pPr>
      <w:r w:rsidRPr="00BB4080">
        <w:rPr>
          <w:rFonts w:ascii="Times New Roman" w:eastAsia="Times New Roman" w:hAnsi="Times New Roman" w:cs="Times New Roman"/>
          <w:b/>
          <w:spacing w:val="30"/>
          <w:kern w:val="1"/>
          <w:sz w:val="28"/>
          <w:szCs w:val="28"/>
          <w:lang w:val="uk-UA"/>
        </w:rPr>
        <w:t>РОЗРОБЛЕНО</w:t>
      </w:r>
      <w:r w:rsidRPr="00BB4080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  <w:t>:</w:t>
      </w:r>
    </w:p>
    <w:p w:rsidR="00BB4080" w:rsidRPr="00BB4080" w:rsidRDefault="00BB4080" w:rsidP="00BB4080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B4080">
        <w:rPr>
          <w:rFonts w:ascii="Times New Roman" w:hAnsi="Times New Roman" w:cs="Times New Roman"/>
          <w:sz w:val="28"/>
          <w:szCs w:val="28"/>
          <w:lang w:val="uk-UA" w:eastAsia="ar-SA"/>
        </w:rPr>
        <w:t>Робочою групою Приватного закладу вищої освіти «Міжнародний класичний університет імені Пилипа Орлика» у складі:</w:t>
      </w:r>
    </w:p>
    <w:p w:rsidR="00BB4080" w:rsidRPr="00BB4080" w:rsidRDefault="00BB4080" w:rsidP="00BB4080">
      <w:pPr>
        <w:numPr>
          <w:ilvl w:val="0"/>
          <w:numId w:val="13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B408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Лук’янчук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Віктор Дмитрович </w:t>
      </w:r>
      <w:r w:rsidRPr="00BB408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– доктор медичних наук,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професор</w:t>
      </w:r>
      <w:r w:rsidRPr="00BB408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професор</w:t>
      </w:r>
      <w:r w:rsidRPr="00BB4080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кафедри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фармації</w:t>
      </w:r>
      <w:r w:rsidRPr="00BB4080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BB4080" w:rsidRPr="00BB4080" w:rsidRDefault="00BB4080" w:rsidP="00BB4080">
      <w:pPr>
        <w:numPr>
          <w:ilvl w:val="0"/>
          <w:numId w:val="13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B4080">
        <w:rPr>
          <w:rFonts w:ascii="Times New Roman" w:hAnsi="Times New Roman" w:cs="Times New Roman"/>
          <w:sz w:val="28"/>
          <w:szCs w:val="28"/>
          <w:lang w:val="uk-UA" w:eastAsia="ar-SA"/>
        </w:rPr>
        <w:t>Ромаскевич Юрій Олексійович – доктор медичних наук, доцент, завідувач кафедри охорони здоров’я.</w:t>
      </w:r>
    </w:p>
    <w:p w:rsidR="00BB4080" w:rsidRPr="00BB4080" w:rsidRDefault="00BB4080" w:rsidP="00BB4080">
      <w:pPr>
        <w:numPr>
          <w:ilvl w:val="0"/>
          <w:numId w:val="13"/>
        </w:numPr>
        <w:suppressAutoHyphens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BB4080">
        <w:rPr>
          <w:rFonts w:ascii="Times New Roman" w:hAnsi="Times New Roman" w:cs="Times New Roman"/>
          <w:sz w:val="28"/>
          <w:szCs w:val="28"/>
          <w:lang w:val="uk-UA" w:eastAsia="ar-SA"/>
        </w:rPr>
        <w:t>Тарасенко Тамара Дмитрівна – кандидат медичних наук, професор, професор кафедри охорони здоров’я.</w:t>
      </w:r>
    </w:p>
    <w:p w:rsidR="00BB4080" w:rsidRPr="00BB4080" w:rsidRDefault="00BB4080" w:rsidP="00BB4080">
      <w:pPr>
        <w:spacing w:line="360" w:lineRule="auto"/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uk-UA"/>
        </w:rPr>
      </w:pPr>
    </w:p>
    <w:p w:rsidR="00774ABE" w:rsidRPr="00252E06" w:rsidRDefault="00774ABE" w:rsidP="00774ABE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</w:pPr>
      <w:r w:rsidRPr="00252E06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uk-UA"/>
        </w:rPr>
        <w:t>ЗАТВЕРДЖЕНО:</w:t>
      </w:r>
    </w:p>
    <w:p w:rsidR="00774ABE" w:rsidRPr="00F65F0F" w:rsidRDefault="00774ABE" w:rsidP="00774A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Вченою радою Приватного закладу вищої освіти «Міжнародний класичний університет імені Пилипа Орлика» </w:t>
      </w:r>
      <w:r>
        <w:rPr>
          <w:rFonts w:ascii="Times New Roman" w:hAnsi="Times New Roman"/>
          <w:sz w:val="28"/>
          <w:szCs w:val="28"/>
          <w:lang w:val="uk-UA"/>
        </w:rPr>
        <w:t xml:space="preserve">(Протокол № 1 від «31» серпня 2019 </w:t>
      </w:r>
      <w:r w:rsidRPr="00F65F0F">
        <w:rPr>
          <w:rFonts w:ascii="Times New Roman" w:hAnsi="Times New Roman"/>
          <w:sz w:val="28"/>
          <w:szCs w:val="28"/>
          <w:lang w:val="uk-UA"/>
        </w:rPr>
        <w:t>р. ).</w:t>
      </w:r>
    </w:p>
    <w:p w:rsidR="00774ABE" w:rsidRPr="00252E06" w:rsidRDefault="00774ABE" w:rsidP="00774ABE">
      <w:pPr>
        <w:spacing w:line="36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  <w:lang w:val="uk-UA" w:eastAsia="ar-SA"/>
        </w:rPr>
      </w:pPr>
    </w:p>
    <w:p w:rsidR="00774ABE" w:rsidRPr="00252E06" w:rsidRDefault="00774ABE" w:rsidP="00774ABE">
      <w:pPr>
        <w:numPr>
          <w:ilvl w:val="0"/>
          <w:numId w:val="12"/>
        </w:numPr>
        <w:suppressAutoHyphens/>
        <w:spacing w:line="360" w:lineRule="auto"/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252E06">
        <w:rPr>
          <w:rFonts w:ascii="Times New Roman" w:hAnsi="Times New Roman" w:cs="Times New Roman"/>
          <w:b/>
          <w:spacing w:val="20"/>
          <w:sz w:val="28"/>
          <w:szCs w:val="28"/>
          <w:lang w:val="uk-UA" w:eastAsia="ar-SA"/>
        </w:rPr>
        <w:t>ВВЕДЕНО В ДІЮ:</w:t>
      </w:r>
    </w:p>
    <w:p w:rsidR="00774ABE" w:rsidRPr="00F65F0F" w:rsidRDefault="00774ABE" w:rsidP="00774AB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2E06">
        <w:rPr>
          <w:rFonts w:ascii="Times New Roman" w:eastAsia="Times New Roman" w:hAnsi="Times New Roman" w:cs="Times New Roman"/>
          <w:sz w:val="28"/>
          <w:szCs w:val="28"/>
        </w:rPr>
        <w:t>Наказом ректора</w:t>
      </w:r>
      <w:r w:rsidRPr="00252E06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52E06">
        <w:rPr>
          <w:rFonts w:ascii="Times New Roman" w:eastAsia="Times New Roman" w:hAnsi="Times New Roman" w:cs="Times New Roman"/>
          <w:sz w:val="28"/>
          <w:szCs w:val="28"/>
        </w:rPr>
        <w:t>Приватного закладу вищої освіти «Міжнародний класичний університет імені Пилипа Орлика»</w:t>
      </w:r>
      <w:r w:rsidRPr="00252E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(Протокол № 71 від «31» серпня 2019 </w:t>
      </w:r>
      <w:r w:rsidRPr="00F65F0F">
        <w:rPr>
          <w:rFonts w:ascii="Times New Roman" w:hAnsi="Times New Roman"/>
          <w:sz w:val="28"/>
          <w:szCs w:val="28"/>
          <w:lang w:val="uk-UA"/>
        </w:rPr>
        <w:t>р.</w:t>
      </w:r>
      <w:proofErr w:type="gramStart"/>
      <w:r w:rsidRPr="00F65F0F">
        <w:rPr>
          <w:rFonts w:ascii="Times New Roman" w:hAnsi="Times New Roman"/>
          <w:sz w:val="28"/>
          <w:szCs w:val="28"/>
          <w:lang w:val="uk-UA"/>
        </w:rPr>
        <w:t xml:space="preserve"> )</w:t>
      </w:r>
      <w:proofErr w:type="gramEnd"/>
      <w:r w:rsidRPr="00F65F0F">
        <w:rPr>
          <w:rFonts w:ascii="Times New Roman" w:hAnsi="Times New Roman"/>
          <w:sz w:val="28"/>
          <w:szCs w:val="28"/>
          <w:lang w:val="uk-UA"/>
        </w:rPr>
        <w:t>.</w:t>
      </w:r>
    </w:p>
    <w:p w:rsidR="00BB4080" w:rsidRPr="00BB4080" w:rsidRDefault="00BB4080" w:rsidP="00BB408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4080" w:rsidRPr="00BB4080" w:rsidRDefault="00BB4080" w:rsidP="00BB4080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  <w:r w:rsidRPr="00BB4080">
        <w:rPr>
          <w:rFonts w:ascii="Times New Roman" w:hAnsi="Times New Roman" w:cs="Calibri"/>
          <w:b/>
          <w:sz w:val="28"/>
          <w:szCs w:val="28"/>
          <w:lang w:val="uk-UA" w:eastAsia="ar-SA"/>
        </w:rPr>
        <w:t xml:space="preserve"> </w:t>
      </w:r>
    </w:p>
    <w:p w:rsidR="00BB4080" w:rsidRPr="00BB4080" w:rsidRDefault="00BB4080" w:rsidP="00BB4080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BB4080" w:rsidRDefault="00BB4080" w:rsidP="00BB4080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263FC7" w:rsidRPr="00BB4080" w:rsidRDefault="00263FC7" w:rsidP="00BB4080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BB4080" w:rsidRPr="00BB4080" w:rsidRDefault="00BB4080" w:rsidP="00BB4080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uk-UA" w:eastAsia="ar-SA"/>
        </w:rPr>
      </w:pPr>
    </w:p>
    <w:p w:rsidR="00BB4080" w:rsidRDefault="00BB4080" w:rsidP="00BB4080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en-US" w:eastAsia="ar-SA"/>
        </w:rPr>
      </w:pPr>
    </w:p>
    <w:p w:rsidR="00CA260D" w:rsidRDefault="00CA260D" w:rsidP="00BB4080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en-US" w:eastAsia="ar-SA"/>
        </w:rPr>
      </w:pPr>
    </w:p>
    <w:p w:rsidR="00CA260D" w:rsidRPr="00CA260D" w:rsidRDefault="00CA260D" w:rsidP="00BB4080">
      <w:pPr>
        <w:suppressAutoHyphens/>
        <w:spacing w:line="360" w:lineRule="auto"/>
        <w:ind w:firstLine="709"/>
        <w:rPr>
          <w:rFonts w:ascii="Times New Roman" w:hAnsi="Times New Roman" w:cs="Calibri"/>
          <w:b/>
          <w:sz w:val="28"/>
          <w:szCs w:val="28"/>
          <w:lang w:val="en-US" w:eastAsia="ar-SA"/>
        </w:rPr>
      </w:pPr>
      <w:bookmarkStart w:id="0" w:name="_GoBack"/>
      <w:bookmarkEnd w:id="0"/>
    </w:p>
    <w:p w:rsidR="00BB4080" w:rsidRPr="00BB4080" w:rsidRDefault="00BB4080" w:rsidP="001F1C22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17DBC" w:rsidRDefault="00F17DBC">
      <w:pPr>
        <w:spacing w:line="105" w:lineRule="exact"/>
        <w:rPr>
          <w:rFonts w:ascii="Times New Roman" w:eastAsia="Times New Roman" w:hAnsi="Times New Roman"/>
        </w:rPr>
      </w:pPr>
      <w:bookmarkStart w:id="1" w:name="page3"/>
      <w:bookmarkEnd w:id="1"/>
    </w:p>
    <w:p w:rsidR="00F17DBC" w:rsidRDefault="00216C5F" w:rsidP="00BB4080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Преамбула</w:t>
      </w:r>
    </w:p>
    <w:p w:rsidR="00F17DBC" w:rsidRDefault="00F17DBC">
      <w:pPr>
        <w:spacing w:line="319" w:lineRule="exact"/>
        <w:rPr>
          <w:rFonts w:ascii="Times New Roman" w:eastAsia="Times New Roman" w:hAnsi="Times New Roman"/>
        </w:rPr>
      </w:pPr>
    </w:p>
    <w:p w:rsidR="00F17DBC" w:rsidRPr="001F1C22" w:rsidRDefault="00BB4080" w:rsidP="001F1C22">
      <w:pPr>
        <w:spacing w:line="0" w:lineRule="atLeast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r w:rsidRPr="00BC44DF">
        <w:rPr>
          <w:rFonts w:ascii="Times New Roman" w:eastAsia="Times New Roman" w:hAnsi="Times New Roman"/>
          <w:sz w:val="28"/>
          <w:szCs w:val="28"/>
          <w:lang w:val="uk-UA"/>
        </w:rPr>
        <w:t xml:space="preserve">Освітньо-професійна програма «Психологія» ПЗВО «Міжнародний класичний університет імені Пилипа Орлика» відповідно до </w:t>
      </w:r>
      <w:r w:rsidR="00216C5F">
        <w:rPr>
          <w:rFonts w:ascii="Times New Roman" w:eastAsia="Times New Roman" w:hAnsi="Times New Roman"/>
          <w:sz w:val="28"/>
        </w:rPr>
        <w:t>Стандарт</w:t>
      </w:r>
      <w:r>
        <w:rPr>
          <w:rFonts w:ascii="Times New Roman" w:eastAsia="Times New Roman" w:hAnsi="Times New Roman"/>
          <w:sz w:val="28"/>
          <w:lang w:val="uk-UA"/>
        </w:rPr>
        <w:t>у</w:t>
      </w:r>
      <w:r w:rsidR="00216C5F">
        <w:rPr>
          <w:rFonts w:ascii="Times New Roman" w:eastAsia="Times New Roman" w:hAnsi="Times New Roman"/>
          <w:sz w:val="28"/>
        </w:rPr>
        <w:t xml:space="preserve"> вищої освіти: другий (магістерський) рівень, галузь знань 22 </w:t>
      </w:r>
      <w:r>
        <w:rPr>
          <w:rFonts w:ascii="Times New Roman" w:eastAsia="Times New Roman" w:hAnsi="Times New Roman"/>
          <w:sz w:val="28"/>
        </w:rPr>
        <w:t>– Охорона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r w:rsidR="00216C5F">
        <w:rPr>
          <w:rFonts w:ascii="Times New Roman" w:eastAsia="Times New Roman" w:hAnsi="Times New Roman"/>
          <w:sz w:val="28"/>
        </w:rPr>
        <w:t>здоров</w:t>
      </w:r>
      <w:r w:rsidR="001F1C22">
        <w:rPr>
          <w:rFonts w:ascii="Times New Roman" w:eastAsia="Times New Roman" w:hAnsi="Times New Roman"/>
          <w:sz w:val="28"/>
        </w:rPr>
        <w:t>’я, спеціальність</w:t>
      </w:r>
      <w:r>
        <w:rPr>
          <w:rFonts w:ascii="Times New Roman" w:eastAsia="Times New Roman" w:hAnsi="Times New Roman"/>
          <w:sz w:val="28"/>
        </w:rPr>
        <w:t xml:space="preserve"> 229–</w:t>
      </w:r>
      <w:r w:rsidR="00216C5F">
        <w:rPr>
          <w:rFonts w:ascii="Times New Roman" w:eastAsia="Times New Roman" w:hAnsi="Times New Roman"/>
          <w:sz w:val="28"/>
        </w:rPr>
        <w:t>Громадське здоров’я</w:t>
      </w:r>
      <w:r w:rsidR="001F1C22">
        <w:rPr>
          <w:rFonts w:ascii="Times New Roman" w:eastAsia="Times New Roman" w:hAnsi="Times New Roman"/>
          <w:sz w:val="28"/>
          <w:lang w:val="uk-UA"/>
        </w:rPr>
        <w:t>, з</w:t>
      </w:r>
      <w:r w:rsidR="00216C5F">
        <w:rPr>
          <w:rFonts w:ascii="Times New Roman" w:eastAsia="Times New Roman" w:hAnsi="Times New Roman"/>
          <w:sz w:val="28"/>
        </w:rPr>
        <w:t>атверджено</w:t>
      </w:r>
      <w:r w:rsidR="001F1C22">
        <w:rPr>
          <w:rFonts w:ascii="Times New Roman" w:eastAsia="Times New Roman" w:hAnsi="Times New Roman"/>
          <w:sz w:val="28"/>
          <w:lang w:val="uk-UA"/>
        </w:rPr>
        <w:t>го</w:t>
      </w:r>
      <w:r w:rsidR="00216C5F">
        <w:rPr>
          <w:rFonts w:ascii="Times New Roman" w:eastAsia="Times New Roman" w:hAnsi="Times New Roman"/>
          <w:sz w:val="28"/>
        </w:rPr>
        <w:t xml:space="preserve"> і введено в дію наказом Міністерства освіти і науки України від 12.12.2018 р. № 1383.</w:t>
      </w:r>
    </w:p>
    <w:p w:rsidR="00F17DBC" w:rsidRDefault="00F17DBC">
      <w:pPr>
        <w:spacing w:line="200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F17DBC" w:rsidRPr="001F1C22" w:rsidRDefault="00F17DBC" w:rsidP="001F1C22">
      <w:pPr>
        <w:spacing w:line="237" w:lineRule="auto"/>
        <w:jc w:val="both"/>
        <w:rPr>
          <w:rFonts w:ascii="Times New Roman" w:eastAsia="Times New Roman" w:hAnsi="Times New Roman"/>
          <w:sz w:val="28"/>
          <w:lang w:val="uk-UA"/>
        </w:rPr>
        <w:sectPr w:rsidR="00F17DBC" w:rsidRPr="001F1C22">
          <w:pgSz w:w="11900" w:h="16838"/>
          <w:pgMar w:top="702" w:right="706" w:bottom="1440" w:left="1000" w:header="0" w:footer="0" w:gutter="0"/>
          <w:cols w:space="0" w:equalWidth="0">
            <w:col w:w="10200"/>
          </w:cols>
          <w:docGrid w:linePitch="360"/>
        </w:sectPr>
      </w:pPr>
      <w:bookmarkStart w:id="3" w:name="page5"/>
      <w:bookmarkEnd w:id="3"/>
    </w:p>
    <w:tbl>
      <w:tblPr>
        <w:tblW w:w="10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340"/>
        <w:gridCol w:w="520"/>
        <w:gridCol w:w="1120"/>
        <w:gridCol w:w="340"/>
        <w:gridCol w:w="520"/>
        <w:gridCol w:w="1420"/>
        <w:gridCol w:w="640"/>
        <w:gridCol w:w="880"/>
        <w:gridCol w:w="620"/>
      </w:tblGrid>
      <w:tr w:rsidR="00F17DBC" w:rsidTr="00BB4080">
        <w:trPr>
          <w:trHeight w:val="322"/>
        </w:trPr>
        <w:tc>
          <w:tcPr>
            <w:tcW w:w="30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4" w:name="page6"/>
            <w:bookmarkEnd w:id="4"/>
          </w:p>
        </w:tc>
        <w:tc>
          <w:tcPr>
            <w:tcW w:w="13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ind w:left="700"/>
              <w:rPr>
                <w:rFonts w:ascii="Arial" w:eastAsia="Arial" w:hAnsi="Arial"/>
                <w:sz w:val="2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1C22" w:rsidTr="00A21505">
        <w:trPr>
          <w:trHeight w:val="427"/>
        </w:trPr>
        <w:tc>
          <w:tcPr>
            <w:tcW w:w="10400" w:type="dxa"/>
            <w:gridSpan w:val="10"/>
            <w:shd w:val="clear" w:color="auto" w:fill="auto"/>
            <w:vAlign w:val="bottom"/>
          </w:tcPr>
          <w:p w:rsidR="001F1C22" w:rsidRDefault="001F1C22" w:rsidP="001F1C2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Загальна характеристика</w:t>
            </w:r>
          </w:p>
        </w:tc>
      </w:tr>
      <w:tr w:rsidR="00F17DBC" w:rsidTr="00BB4080">
        <w:trPr>
          <w:trHeight w:val="327"/>
        </w:trPr>
        <w:tc>
          <w:tcPr>
            <w:tcW w:w="300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40" w:type="dxa"/>
            <w:gridSpan w:val="5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DBC" w:rsidTr="00BB4080">
        <w:trPr>
          <w:trHeight w:val="4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>івень вищої освіти</w:t>
            </w:r>
          </w:p>
        </w:tc>
        <w:tc>
          <w:tcPr>
            <w:tcW w:w="3840" w:type="dxa"/>
            <w:gridSpan w:val="5"/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Другий (магістерський)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івень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DBC" w:rsidTr="00BB4080">
        <w:trPr>
          <w:trHeight w:val="115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17DBC" w:rsidTr="00BB4080">
        <w:trPr>
          <w:trHeight w:val="424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Ступінь вищої освіти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Магі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стр</w:t>
            </w:r>
            <w:proofErr w:type="gramEnd"/>
          </w:p>
        </w:tc>
        <w:tc>
          <w:tcPr>
            <w:tcW w:w="5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DBC" w:rsidTr="00BB4080">
        <w:trPr>
          <w:trHeight w:val="168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F17DBC" w:rsidTr="00BB4080">
        <w:trPr>
          <w:trHeight w:val="4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Галузь знань</w:t>
            </w:r>
          </w:p>
        </w:tc>
        <w:tc>
          <w:tcPr>
            <w:tcW w:w="2980" w:type="dxa"/>
            <w:gridSpan w:val="3"/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 – Охорона здоров’я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DBC" w:rsidTr="00BB4080">
        <w:trPr>
          <w:trHeight w:val="115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320" w:type="dxa"/>
            <w:gridSpan w:val="4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F17DBC" w:rsidTr="00BB4080">
        <w:trPr>
          <w:trHeight w:val="424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>іальність</w:t>
            </w:r>
          </w:p>
        </w:tc>
        <w:tc>
          <w:tcPr>
            <w:tcW w:w="3320" w:type="dxa"/>
            <w:gridSpan w:val="4"/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229 – Громадське здоров’я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DBC" w:rsidTr="00BB4080">
        <w:trPr>
          <w:trHeight w:val="127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F17DBC" w:rsidTr="00BB4080">
        <w:trPr>
          <w:trHeight w:val="424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Обмеження щодо</w:t>
            </w:r>
          </w:p>
        </w:tc>
        <w:tc>
          <w:tcPr>
            <w:tcW w:w="1860" w:type="dxa"/>
            <w:gridSpan w:val="2"/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Без обмежень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DBC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форм навчання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DBC" w:rsidTr="00BB4080">
        <w:trPr>
          <w:trHeight w:val="115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B4080" w:rsidTr="00BB4080">
        <w:trPr>
          <w:trHeight w:val="4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BB4080" w:rsidRDefault="00BB4080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Освітня кваліфікація</w:t>
            </w:r>
          </w:p>
        </w:tc>
        <w:tc>
          <w:tcPr>
            <w:tcW w:w="7400" w:type="dxa"/>
            <w:gridSpan w:val="9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BB4080" w:rsidRPr="00BB4080" w:rsidRDefault="00BB4080" w:rsidP="00BB4080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Магі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стр</w:t>
            </w:r>
            <w:proofErr w:type="gramEnd"/>
            <w:r>
              <w:rPr>
                <w:rFonts w:ascii="Times New Roman" w:eastAsia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громадського </w:t>
            </w:r>
            <w:r>
              <w:rPr>
                <w:rFonts w:ascii="Times New Roman" w:eastAsia="Times New Roman" w:hAnsi="Times New Roman"/>
                <w:sz w:val="28"/>
              </w:rPr>
              <w:t xml:space="preserve">здоров’я </w:t>
            </w:r>
          </w:p>
          <w:p w:rsidR="00BB4080" w:rsidRDefault="00BB4080" w:rsidP="00A21505">
            <w:pPr>
              <w:spacing w:line="0" w:lineRule="atLeas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BB4080" w:rsidTr="00BB4080">
        <w:trPr>
          <w:trHeight w:val="317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BB4080" w:rsidRDefault="00BB40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BB4080" w:rsidRDefault="00BB40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DBC" w:rsidTr="00BB4080">
        <w:trPr>
          <w:trHeight w:val="122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60" w:type="dxa"/>
            <w:gridSpan w:val="6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F1C22" w:rsidTr="00A21505">
        <w:trPr>
          <w:trHeight w:val="4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Кваліфікація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в</w:t>
            </w:r>
            <w:proofErr w:type="gramEnd"/>
          </w:p>
        </w:tc>
        <w:tc>
          <w:tcPr>
            <w:tcW w:w="7400" w:type="dxa"/>
            <w:gridSpan w:val="9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Ступінь вищої освіти – Магі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стр</w:t>
            </w:r>
            <w:proofErr w:type="gramEnd"/>
          </w:p>
          <w:p w:rsidR="001F1C22" w:rsidRPr="001F1C22" w:rsidRDefault="001F1C22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Спеціальність – 229 </w:t>
            </w:r>
            <w:r w:rsidRPr="001F1C22">
              <w:rPr>
                <w:rFonts w:ascii="Times New Roman" w:eastAsia="Times New Roman" w:hAnsi="Times New Roman"/>
                <w:sz w:val="28"/>
                <w:lang w:val="uk-UA"/>
              </w:rPr>
              <w:t>Громадське здоров’я</w:t>
            </w:r>
          </w:p>
          <w:p w:rsidR="001F1C22" w:rsidRDefault="001F1C22" w:rsidP="00A21505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Освітня програма – </w:t>
            </w:r>
            <w:r w:rsidRPr="001F1C22">
              <w:rPr>
                <w:rFonts w:ascii="Times New Roman" w:eastAsia="Times New Roman" w:hAnsi="Times New Roman"/>
                <w:sz w:val="28"/>
              </w:rPr>
              <w:t>Громадське здоров’я</w:t>
            </w:r>
          </w:p>
        </w:tc>
      </w:tr>
      <w:tr w:rsidR="001F1C22" w:rsidTr="00A21505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дипломі</w:t>
            </w: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ind w:left="300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ind w:left="300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F17DBC" w:rsidTr="00BB4080">
        <w:trPr>
          <w:trHeight w:val="122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0" w:type="dxa"/>
            <w:gridSpan w:val="9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129F5" w:rsidTr="003129F5">
        <w:trPr>
          <w:trHeight w:val="122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129F5" w:rsidRPr="00556EA7" w:rsidRDefault="003129F5" w:rsidP="003129F5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7400" w:type="dxa"/>
            <w:gridSpan w:val="9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129F5" w:rsidRPr="00E06887" w:rsidRDefault="003129F5" w:rsidP="003129F5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Диплом </w:t>
            </w:r>
            <w:r w:rsidRPr="00E068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магістра, одиничний,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0688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 кредитів ЄКТС,</w:t>
            </w:r>
          </w:p>
          <w:p w:rsidR="003129F5" w:rsidRPr="00556EA7" w:rsidRDefault="003129F5" w:rsidP="003129F5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06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Термін навчання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r w:rsidRPr="00E06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</w:p>
        </w:tc>
      </w:tr>
      <w:tr w:rsidR="003129F5" w:rsidTr="003129F5">
        <w:trPr>
          <w:trHeight w:val="122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129F5" w:rsidRPr="00556EA7" w:rsidRDefault="003129F5" w:rsidP="003129F5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400" w:type="dxa"/>
            <w:gridSpan w:val="9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129F5" w:rsidRPr="00556EA7" w:rsidRDefault="003129F5" w:rsidP="003129F5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Акредитовано у 2019 р.</w:t>
            </w:r>
          </w:p>
        </w:tc>
      </w:tr>
      <w:tr w:rsidR="003129F5" w:rsidRPr="007C7E12" w:rsidTr="003129F5">
        <w:trPr>
          <w:trHeight w:val="122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129F5" w:rsidRPr="00556EA7" w:rsidRDefault="003129F5" w:rsidP="003129F5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Цикл/рівень</w:t>
            </w:r>
          </w:p>
        </w:tc>
        <w:tc>
          <w:tcPr>
            <w:tcW w:w="7400" w:type="dxa"/>
            <w:gridSpan w:val="9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129F5" w:rsidRPr="00556EA7" w:rsidRDefault="003129F5" w:rsidP="003129F5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6E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НРК України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556E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рівень, FQ-EHEA – другий цикл, ЕQF-LLL – 7 рівень</w:t>
            </w:r>
          </w:p>
        </w:tc>
      </w:tr>
      <w:tr w:rsidR="00A4267A" w:rsidRPr="003129F5" w:rsidTr="00A4267A">
        <w:trPr>
          <w:trHeight w:val="122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267A" w:rsidRPr="00EA0090" w:rsidRDefault="00A4267A" w:rsidP="00A4267A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400" w:type="dxa"/>
            <w:gridSpan w:val="9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267A" w:rsidRPr="00EA0090" w:rsidRDefault="00A4267A" w:rsidP="00A4267A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</w:tr>
      <w:tr w:rsidR="00A4267A" w:rsidRPr="003129F5" w:rsidTr="00A4267A">
        <w:trPr>
          <w:trHeight w:val="122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267A" w:rsidRPr="00EA0090" w:rsidRDefault="00A4267A" w:rsidP="00A4267A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7400" w:type="dxa"/>
            <w:gridSpan w:val="9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267A" w:rsidRPr="00EA0090" w:rsidRDefault="00A4267A" w:rsidP="00A4267A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2019-2024 р.р. </w:t>
            </w:r>
          </w:p>
        </w:tc>
      </w:tr>
      <w:tr w:rsidR="00A4267A" w:rsidRPr="003129F5" w:rsidTr="00A4267A">
        <w:trPr>
          <w:trHeight w:val="122"/>
        </w:trPr>
        <w:tc>
          <w:tcPr>
            <w:tcW w:w="30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267A" w:rsidRPr="00EA0090" w:rsidRDefault="00A4267A" w:rsidP="00A4267A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400" w:type="dxa"/>
            <w:gridSpan w:val="9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4267A" w:rsidRPr="00EA0090" w:rsidRDefault="00A4267A" w:rsidP="00A4267A">
            <w:pPr>
              <w:tabs>
                <w:tab w:val="left" w:pos="2640"/>
              </w:tabs>
              <w:spacing w:line="249" w:lineRule="auto"/>
              <w:ind w:right="-8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009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https://mku.edu.ua</w:t>
            </w:r>
          </w:p>
        </w:tc>
      </w:tr>
      <w:tr w:rsidR="001F1C22" w:rsidTr="00BB4080">
        <w:trPr>
          <w:trHeight w:val="4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Опис предметної</w:t>
            </w:r>
          </w:p>
        </w:tc>
        <w:tc>
          <w:tcPr>
            <w:tcW w:w="7400" w:type="dxa"/>
            <w:gridSpan w:val="9"/>
            <w:vMerge w:val="restart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4267A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Об’єкти вивчення: </w:t>
            </w:r>
            <w:r>
              <w:rPr>
                <w:rFonts w:ascii="Times New Roman" w:eastAsia="Times New Roman" w:hAnsi="Times New Roman"/>
                <w:sz w:val="28"/>
              </w:rPr>
              <w:t>здоров’я населення,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детермінанти,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що</w:t>
            </w:r>
            <w:r w:rsidR="00A4267A"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 нього впливають; організаційна, управлінська,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експертна,   контрольно-аналітична, проектна, науково-дослідна діяльність у сфері  громадського здоров’я та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промоції здоров’я.</w:t>
            </w:r>
          </w:p>
          <w:p w:rsidR="001F1C22" w:rsidRDefault="001F1C22" w:rsidP="001F1C2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Ц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 xml:space="preserve">ілі навчання: </w:t>
            </w:r>
            <w:r>
              <w:rPr>
                <w:rFonts w:ascii="Times New Roman" w:eastAsia="Times New Roman" w:hAnsi="Times New Roman"/>
                <w:sz w:val="28"/>
              </w:rPr>
              <w:t>підготовка фахівців,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здатних розв’язувати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складні задачі і проблеми у галузі громадського здоров’я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або у процесі навчання, що передбачає проведення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досліджен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я </w:t>
            </w:r>
            <w:r>
              <w:rPr>
                <w:rFonts w:ascii="Times New Roman" w:eastAsia="Times New Roman" w:hAnsi="Times New Roman"/>
                <w:sz w:val="28"/>
              </w:rPr>
              <w:t>та/або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здійснення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інновацій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характеризується невизначеністю умов і вимог.</w:t>
            </w:r>
          </w:p>
          <w:p w:rsidR="001F1C22" w:rsidRDefault="001F1C22" w:rsidP="001F1C2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Теоретичний змі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 xml:space="preserve"> предметної області: </w:t>
            </w:r>
            <w:r>
              <w:rPr>
                <w:rFonts w:ascii="Times New Roman" w:eastAsia="Times New Roman" w:hAnsi="Times New Roman"/>
                <w:sz w:val="28"/>
              </w:rPr>
              <w:t>концепції,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закономірності, принципи, поняття, які спрямовані на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оцінку стану здоров’я,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захист та промоцію здоров’я,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моніторинг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загроз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для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громадського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здоров’я,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профілактику   захворювань, збереження та зміцнення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здоров’я та </w:t>
            </w:r>
            <w:r>
              <w:rPr>
                <w:rFonts w:ascii="Times New Roman" w:eastAsia="Times New Roman" w:hAnsi="Times New Roman"/>
                <w:sz w:val="28"/>
              </w:rPr>
              <w:lastRenderedPageBreak/>
              <w:t>соціального благополуччя населення в цілому.</w:t>
            </w:r>
          </w:p>
          <w:p w:rsidR="001F1C22" w:rsidRDefault="001F1C22" w:rsidP="001F1C2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Методи, методики та технології: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еп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ідеміологічний,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демографічний, статистичний, соціологічний, медико-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статистичний,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медико-географічний,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соціально-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психологічний, експертних оцінок, структурно-логічного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аналізу, економічного аналізу, моделювання, методи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кількісних і якісних досліджень.</w:t>
            </w:r>
          </w:p>
          <w:p w:rsidR="001F1C22" w:rsidRPr="003129F5" w:rsidRDefault="001F1C22" w:rsidP="003129F5">
            <w:pPr>
              <w:spacing w:line="0" w:lineRule="atLeast"/>
              <w:ind w:left="119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 xml:space="preserve">Інструменти та обладнання: </w:t>
            </w:r>
            <w:r>
              <w:rPr>
                <w:rFonts w:ascii="Times New Roman" w:eastAsia="Times New Roman" w:hAnsi="Times New Roman"/>
                <w:sz w:val="28"/>
              </w:rPr>
              <w:t>сучасні інформаційно-технічні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засоби навчання;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програмні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продукти,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що застосовуються у сфері громадського здоров’я.</w:t>
            </w: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області</w:t>
            </w: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17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A21505">
        <w:trPr>
          <w:trHeight w:val="324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A21505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A21505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4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A21505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4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A21505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BB4080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A21505">
        <w:trPr>
          <w:trHeight w:val="322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1F1C22" w:rsidRDefault="001F1C22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9F5" w:rsidTr="00A21505">
        <w:trPr>
          <w:trHeight w:val="644"/>
        </w:trPr>
        <w:tc>
          <w:tcPr>
            <w:tcW w:w="300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3129F5" w:rsidRDefault="003129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0" w:type="dxa"/>
            <w:gridSpan w:val="9"/>
            <w:vMerge/>
            <w:tcBorders>
              <w:bottom w:val="single" w:sz="8" w:space="0" w:color="auto"/>
              <w:right w:val="single" w:sz="8" w:space="0" w:color="808080"/>
            </w:tcBorders>
            <w:shd w:val="clear" w:color="auto" w:fill="auto"/>
            <w:vAlign w:val="bottom"/>
          </w:tcPr>
          <w:p w:rsidR="003129F5" w:rsidRDefault="003129F5" w:rsidP="00A215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1F1C22" w:rsidTr="003129F5">
        <w:trPr>
          <w:trHeight w:val="122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9F5" w:rsidRPr="003129F5" w:rsidRDefault="003129F5" w:rsidP="003129F5">
            <w:pPr>
              <w:tabs>
                <w:tab w:val="left" w:pos="3000"/>
                <w:tab w:val="left" w:pos="4860"/>
                <w:tab w:val="left" w:pos="5820"/>
                <w:tab w:val="left" w:pos="6300"/>
                <w:tab w:val="left" w:pos="7620"/>
              </w:tabs>
              <w:spacing w:line="0" w:lineRule="atLeast"/>
              <w:ind w:left="6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Академічні права</w:t>
            </w:r>
          </w:p>
          <w:p w:rsidR="003129F5" w:rsidRDefault="003129F5" w:rsidP="003129F5">
            <w:pPr>
              <w:spacing w:line="13" w:lineRule="exact"/>
              <w:rPr>
                <w:rFonts w:ascii="Times New Roman" w:eastAsia="Times New Roman" w:hAnsi="Times New Roman"/>
              </w:rPr>
            </w:pPr>
          </w:p>
          <w:p w:rsidR="003129F5" w:rsidRDefault="003129F5" w:rsidP="003129F5">
            <w:pPr>
              <w:tabs>
                <w:tab w:val="left" w:pos="3000"/>
              </w:tabs>
              <w:spacing w:line="235" w:lineRule="auto"/>
              <w:ind w:left="3020" w:right="100" w:hanging="2959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випускників</w:t>
            </w:r>
            <w:r>
              <w:rPr>
                <w:rFonts w:ascii="Times New Roman" w:eastAsia="Times New Roman" w:hAnsi="Times New Roman"/>
                <w:sz w:val="28"/>
              </w:rPr>
              <w:t>.</w:t>
            </w:r>
          </w:p>
          <w:p w:rsidR="001F1C22" w:rsidRDefault="001F1C2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1C22" w:rsidRDefault="003129F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Продовження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освіти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на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третьому</w:t>
            </w:r>
            <w:r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(освітньо-науковому)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івні вищої освіти. Набуття додаткових кваліфікацій в системі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іслядипломної освіти</w:t>
            </w:r>
          </w:p>
        </w:tc>
      </w:tr>
    </w:tbl>
    <w:p w:rsidR="00F17DBC" w:rsidRDefault="00F17DBC">
      <w:pPr>
        <w:spacing w:line="20" w:lineRule="exact"/>
        <w:rPr>
          <w:rFonts w:ascii="Times New Roman" w:eastAsia="Times New Roman" w:hAnsi="Times New Roman"/>
        </w:rPr>
      </w:pPr>
      <w:bookmarkStart w:id="5" w:name="page7"/>
      <w:bookmarkEnd w:id="5"/>
    </w:p>
    <w:p w:rsidR="00F17DBC" w:rsidRDefault="00216C5F" w:rsidP="003129F5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Перелі</w:t>
      </w:r>
      <w:proofErr w:type="gramStart"/>
      <w:r>
        <w:rPr>
          <w:rFonts w:ascii="Times New Roman" w:eastAsia="Times New Roman" w:hAnsi="Times New Roman"/>
          <w:b/>
          <w:sz w:val="28"/>
        </w:rPr>
        <w:t>к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компетентностей випускника</w:t>
      </w:r>
    </w:p>
    <w:p w:rsidR="00F17DBC" w:rsidRDefault="00F17DBC">
      <w:pPr>
        <w:spacing w:line="306" w:lineRule="exact"/>
        <w:rPr>
          <w:rFonts w:ascii="Times New Roman" w:eastAsia="Times New Roman" w:hAnsi="Times New Roman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7920"/>
      </w:tblGrid>
      <w:tr w:rsidR="003129F5" w:rsidTr="003129F5">
        <w:trPr>
          <w:trHeight w:val="13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29F5" w:rsidRDefault="003129F5" w:rsidP="003129F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Інтегральна</w:t>
            </w:r>
          </w:p>
          <w:p w:rsidR="003129F5" w:rsidRDefault="003129F5" w:rsidP="003129F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компетентність</w:t>
            </w:r>
          </w:p>
        </w:tc>
        <w:tc>
          <w:tcPr>
            <w:tcW w:w="7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 w:rsidP="003129F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Здатність розв’язувати складні задачі і проблеми у галузі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громадського здоров’я або у процесі навчання, що передбачає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проведення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іджень та/або здійснення інновацій та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характеризується невизначеністю умов і вимог</w:t>
            </w:r>
          </w:p>
        </w:tc>
      </w:tr>
      <w:tr w:rsidR="003129F5" w:rsidTr="00A21505">
        <w:trPr>
          <w:trHeight w:val="586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129F5" w:rsidRDefault="003129F5" w:rsidP="003129F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Загальні</w:t>
            </w:r>
          </w:p>
          <w:p w:rsidR="003129F5" w:rsidRDefault="003129F5" w:rsidP="003129F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компетентності</w:t>
            </w:r>
          </w:p>
        </w:tc>
        <w:tc>
          <w:tcPr>
            <w:tcW w:w="792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абстрактного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мислення, аналізу та синтезу.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2.Здатність застосовувати знання у практичних ситуаціях.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 xml:space="preserve">3.Здатність спілкуватися </w:t>
            </w:r>
            <w:proofErr w:type="gramStart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державною</w:t>
            </w:r>
            <w:proofErr w:type="gramEnd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 xml:space="preserve"> мовою як усно, так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письмово.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4.Здатність спілкуватися іноземною мовою.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5.Навички використання інформаційних і комунікаційних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технологій.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 xml:space="preserve">6.Здатність проведення </w:t>
            </w:r>
            <w:proofErr w:type="gramStart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іджень на відповідному рівні.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7.Здатність вчитися і оволодівати сучасними знаннями.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8.Здатність спілкуватися з представниками інших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 xml:space="preserve">професійних груп </w:t>
            </w:r>
            <w:proofErr w:type="gramStart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ізного рівня (з експертами з інших галузей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знань/видів економічної діяльності).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 xml:space="preserve">9.Здатність працювати в </w:t>
            </w:r>
            <w:proofErr w:type="gramStart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іжнародному контексті.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 xml:space="preserve">10.Здатність приймати обґрунтовані </w:t>
            </w:r>
            <w:proofErr w:type="gramStart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ішення.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11.Здатність розробляти та управляти проектами.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 xml:space="preserve">12.Здатність діяти </w:t>
            </w:r>
            <w:proofErr w:type="gramStart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іально відповідально та свідомо.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 xml:space="preserve">13.Здатність діяти </w:t>
            </w:r>
            <w:proofErr w:type="gramStart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proofErr w:type="gramEnd"/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і етичних міркувань (мотивів).</w:t>
            </w:r>
          </w:p>
          <w:p w:rsidR="003129F5" w:rsidRPr="003129F5" w:rsidRDefault="003129F5" w:rsidP="00312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Здатність усвідомлювати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івні можливості та</w:t>
            </w: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 xml:space="preserve"> гендерні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3129F5">
              <w:rPr>
                <w:rFonts w:ascii="Times New Roman" w:hAnsi="Times New Roman" w:cs="Times New Roman"/>
                <w:sz w:val="28"/>
                <w:szCs w:val="28"/>
              </w:rPr>
              <w:t>роблеми.</w:t>
            </w:r>
          </w:p>
        </w:tc>
      </w:tr>
      <w:tr w:rsidR="003129F5" w:rsidTr="00A21505">
        <w:trPr>
          <w:trHeight w:val="32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9F5" w:rsidTr="00A21505">
        <w:trPr>
          <w:trHeight w:val="37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>іальні</w:t>
            </w:r>
          </w:p>
        </w:tc>
        <w:tc>
          <w:tcPr>
            <w:tcW w:w="7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 w:rsidP="003129F5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1.Здатність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оцінювати,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інтерпретувати, порівнювати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прогнозувати основні показники громадського здоров’я.</w:t>
            </w:r>
          </w:p>
          <w:p w:rsidR="003129F5" w:rsidRDefault="003129F5" w:rsidP="003129F5">
            <w:pPr>
              <w:spacing w:line="317" w:lineRule="exac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2.Здатність визначати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іоритети і проводити оцінку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потреб сфери громадського здоров’я у конкретній ситуації.</w:t>
            </w:r>
          </w:p>
          <w:p w:rsidR="00A4267A" w:rsidRDefault="003129F5" w:rsidP="00A4267A">
            <w:pPr>
              <w:spacing w:line="235" w:lineRule="auto"/>
              <w:ind w:left="132" w:right="1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3.Здатність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розроблят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и </w:t>
            </w:r>
            <w:r>
              <w:rPr>
                <w:rFonts w:ascii="Times New Roman" w:eastAsia="Times New Roman" w:hAnsi="Times New Roman"/>
                <w:sz w:val="28"/>
              </w:rPr>
              <w:t>варіанти стратегій, політик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та визначати окремі інтервенції, спрямовані на збереження та зміцнення здоров’я населення, та оцінювати їх ефективність.</w:t>
            </w:r>
          </w:p>
          <w:p w:rsidR="003129F5" w:rsidRPr="00A4267A" w:rsidRDefault="00A4267A" w:rsidP="00A4267A">
            <w:pPr>
              <w:spacing w:line="235" w:lineRule="auto"/>
              <w:ind w:left="132" w:right="100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4.</w:t>
            </w:r>
            <w:r w:rsidR="003129F5" w:rsidRPr="00A4267A">
              <w:rPr>
                <w:rFonts w:ascii="Times New Roman" w:eastAsia="Times New Roman" w:hAnsi="Times New Roman"/>
                <w:sz w:val="28"/>
                <w:lang w:val="uk-UA"/>
              </w:rPr>
              <w:t xml:space="preserve">Здатність оцінювати ризики та обґрунтовувати доцільні дії у відповідь на надзвичайні ситуації в сфері громадського </w:t>
            </w:r>
            <w:r w:rsidR="003129F5" w:rsidRPr="00A4267A">
              <w:rPr>
                <w:rFonts w:ascii="Times New Roman" w:eastAsia="Times New Roman" w:hAnsi="Times New Roman"/>
                <w:sz w:val="28"/>
                <w:lang w:val="uk-UA"/>
              </w:rPr>
              <w:lastRenderedPageBreak/>
              <w:t>здоров’я.</w:t>
            </w:r>
          </w:p>
          <w:p w:rsidR="003129F5" w:rsidRDefault="00A4267A" w:rsidP="00A4267A">
            <w:pPr>
              <w:tabs>
                <w:tab w:val="left" w:pos="3106"/>
              </w:tabs>
              <w:spacing w:line="236" w:lineRule="auto"/>
              <w:ind w:left="139" w:right="1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5.</w:t>
            </w:r>
            <w:r w:rsidR="003129F5">
              <w:rPr>
                <w:rFonts w:ascii="Times New Roman" w:eastAsia="Times New Roman" w:hAnsi="Times New Roman"/>
                <w:sz w:val="28"/>
              </w:rPr>
              <w:t>Здатність аналізувати стратегії, політики та інтервенції в сфері громадського здоров’я та пропонувати заходи щодо підвищення ефективності використання наявних коштів.</w:t>
            </w:r>
          </w:p>
          <w:p w:rsidR="003129F5" w:rsidRDefault="003129F5" w:rsidP="003129F5">
            <w:pPr>
              <w:spacing w:line="14" w:lineRule="exact"/>
              <w:ind w:left="132"/>
              <w:rPr>
                <w:rFonts w:ascii="Times New Roman" w:eastAsia="Times New Roman" w:hAnsi="Times New Roman"/>
                <w:sz w:val="28"/>
              </w:rPr>
            </w:pPr>
          </w:p>
          <w:p w:rsidR="003129F5" w:rsidRDefault="00A4267A" w:rsidP="00A4267A">
            <w:pPr>
              <w:tabs>
                <w:tab w:val="left" w:pos="3106"/>
              </w:tabs>
              <w:spacing w:line="234" w:lineRule="auto"/>
              <w:ind w:left="139" w:righ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6.</w:t>
            </w:r>
            <w:r w:rsidR="003129F5">
              <w:rPr>
                <w:rFonts w:ascii="Times New Roman" w:eastAsia="Times New Roman" w:hAnsi="Times New Roman"/>
                <w:sz w:val="28"/>
              </w:rPr>
              <w:t>Здатність створювати команду для діяльності у сфері громадського здоров’я і забезпечувати її ефективну роботу.</w:t>
            </w:r>
          </w:p>
          <w:p w:rsidR="003129F5" w:rsidRDefault="003129F5" w:rsidP="003129F5">
            <w:pPr>
              <w:spacing w:line="15" w:lineRule="exact"/>
              <w:ind w:left="132"/>
              <w:rPr>
                <w:rFonts w:ascii="Times New Roman" w:eastAsia="Times New Roman" w:hAnsi="Times New Roman"/>
                <w:sz w:val="28"/>
              </w:rPr>
            </w:pPr>
          </w:p>
          <w:p w:rsidR="003129F5" w:rsidRDefault="00A4267A" w:rsidP="00A4267A">
            <w:pPr>
              <w:tabs>
                <w:tab w:val="left" w:pos="3106"/>
              </w:tabs>
              <w:spacing w:line="237" w:lineRule="auto"/>
              <w:ind w:left="139" w:right="1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7.</w:t>
            </w:r>
            <w:r w:rsidR="003129F5">
              <w:rPr>
                <w:rFonts w:ascii="Times New Roman" w:eastAsia="Times New Roman" w:hAnsi="Times New Roman"/>
                <w:sz w:val="28"/>
              </w:rPr>
              <w:t>Здатність розробляти проекти надання послуг громадського здоров’я та профілактики (первинної, вторинної та третинної) захворювань, промоції здоров’я, та забезпечувати їх реалізацію.</w:t>
            </w:r>
          </w:p>
          <w:p w:rsidR="003129F5" w:rsidRDefault="003129F5" w:rsidP="003129F5">
            <w:pPr>
              <w:spacing w:line="17" w:lineRule="exact"/>
              <w:ind w:left="132"/>
              <w:rPr>
                <w:rFonts w:ascii="Times New Roman" w:eastAsia="Times New Roman" w:hAnsi="Times New Roman"/>
                <w:sz w:val="28"/>
              </w:rPr>
            </w:pPr>
          </w:p>
          <w:p w:rsidR="003129F5" w:rsidRDefault="00A4267A" w:rsidP="00A4267A">
            <w:pPr>
              <w:tabs>
                <w:tab w:val="left" w:pos="3106"/>
              </w:tabs>
              <w:spacing w:line="234" w:lineRule="auto"/>
              <w:ind w:left="139" w:righ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8.</w:t>
            </w:r>
            <w:r w:rsidR="003129F5">
              <w:rPr>
                <w:rFonts w:ascii="Times New Roman" w:eastAsia="Times New Roman" w:hAnsi="Times New Roman"/>
                <w:sz w:val="28"/>
              </w:rPr>
              <w:t>Здатність розробляти заходи з адвокації, комунікації та соціальної мобілізації у сфері громадського здоров’я.</w:t>
            </w:r>
          </w:p>
          <w:p w:rsidR="003129F5" w:rsidRDefault="003129F5" w:rsidP="003129F5">
            <w:pPr>
              <w:spacing w:line="15" w:lineRule="exact"/>
              <w:ind w:left="132"/>
              <w:rPr>
                <w:rFonts w:ascii="Times New Roman" w:eastAsia="Times New Roman" w:hAnsi="Times New Roman"/>
                <w:sz w:val="28"/>
              </w:rPr>
            </w:pPr>
          </w:p>
          <w:p w:rsidR="003129F5" w:rsidRDefault="00A4267A" w:rsidP="00A4267A">
            <w:pPr>
              <w:tabs>
                <w:tab w:val="left" w:pos="3106"/>
              </w:tabs>
              <w:spacing w:line="237" w:lineRule="auto"/>
              <w:ind w:left="139" w:right="10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9.</w:t>
            </w:r>
            <w:r w:rsidR="003129F5">
              <w:rPr>
                <w:rFonts w:ascii="Times New Roman" w:eastAsia="Times New Roman" w:hAnsi="Times New Roman"/>
                <w:sz w:val="28"/>
              </w:rPr>
              <w:t>Здатність використовувати етичні принципи та норми права при плануванні досліджень, збиранні інформації та її використанні.</w:t>
            </w:r>
          </w:p>
          <w:p w:rsidR="003129F5" w:rsidRDefault="003129F5" w:rsidP="003129F5">
            <w:pPr>
              <w:spacing w:line="13" w:lineRule="exact"/>
              <w:ind w:left="132"/>
              <w:rPr>
                <w:rFonts w:ascii="Times New Roman" w:eastAsia="Times New Roman" w:hAnsi="Times New Roman"/>
                <w:sz w:val="28"/>
              </w:rPr>
            </w:pPr>
          </w:p>
          <w:p w:rsidR="003129F5" w:rsidRDefault="00A4267A" w:rsidP="00A4267A">
            <w:pPr>
              <w:tabs>
                <w:tab w:val="left" w:pos="3106"/>
              </w:tabs>
              <w:spacing w:line="234" w:lineRule="auto"/>
              <w:ind w:left="139" w:righ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10.</w:t>
            </w:r>
            <w:r w:rsidR="003129F5">
              <w:rPr>
                <w:rFonts w:ascii="Times New Roman" w:eastAsia="Times New Roman" w:hAnsi="Times New Roman"/>
                <w:sz w:val="28"/>
              </w:rPr>
              <w:t>Здатність застосовувати різні методики, стратегії та моделі викладання громадського здоров’я.</w:t>
            </w:r>
          </w:p>
          <w:p w:rsidR="003129F5" w:rsidRDefault="003129F5" w:rsidP="003129F5">
            <w:pPr>
              <w:spacing w:line="15" w:lineRule="exact"/>
              <w:ind w:left="132"/>
              <w:rPr>
                <w:rFonts w:ascii="Times New Roman" w:eastAsia="Times New Roman" w:hAnsi="Times New Roman"/>
                <w:sz w:val="28"/>
              </w:rPr>
            </w:pPr>
          </w:p>
          <w:p w:rsidR="003129F5" w:rsidRDefault="00A4267A" w:rsidP="00A4267A">
            <w:pPr>
              <w:tabs>
                <w:tab w:val="left" w:pos="3106"/>
              </w:tabs>
              <w:spacing w:line="237" w:lineRule="auto"/>
              <w:ind w:left="139" w:right="12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lang w:val="uk-UA"/>
              </w:rPr>
              <w:t>11.</w:t>
            </w:r>
            <w:r w:rsidR="003129F5">
              <w:rPr>
                <w:rFonts w:ascii="Times New Roman" w:eastAsia="Times New Roman" w:hAnsi="Times New Roman"/>
                <w:sz w:val="28"/>
              </w:rPr>
              <w:t>Здатність застосовувати наукові підходи щодо планування дизайну досліджень, збору даних, розповсюдження та використання результатів наукових досліджень у сфері громадського здоров’я.</w:t>
            </w:r>
          </w:p>
          <w:p w:rsidR="003129F5" w:rsidRDefault="003129F5" w:rsidP="003129F5">
            <w:pPr>
              <w:spacing w:line="8" w:lineRule="exact"/>
              <w:ind w:left="132"/>
              <w:rPr>
                <w:rFonts w:ascii="Times New Roman" w:eastAsia="Times New Roman" w:hAnsi="Times New Roman"/>
                <w:sz w:val="28"/>
              </w:rPr>
            </w:pPr>
          </w:p>
          <w:p w:rsidR="003129F5" w:rsidRDefault="003129F5" w:rsidP="00A4267A">
            <w:pPr>
              <w:tabs>
                <w:tab w:val="left" w:pos="3106"/>
              </w:tabs>
              <w:spacing w:line="237" w:lineRule="auto"/>
              <w:ind w:left="139" w:right="100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3129F5" w:rsidTr="00A21505">
        <w:trPr>
          <w:trHeight w:val="3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(фахові,</w:t>
            </w:r>
            <w:proofErr w:type="gramEnd"/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 w:rsidP="00A21505">
            <w:pPr>
              <w:spacing w:line="318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9F5" w:rsidTr="00A21505">
        <w:trPr>
          <w:trHeight w:val="3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предметні)</w:t>
            </w:r>
            <w:proofErr w:type="gramEnd"/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 w:rsidP="00A21505">
            <w:pPr>
              <w:spacing w:line="318" w:lineRule="exac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3129F5" w:rsidTr="00A21505">
        <w:trPr>
          <w:trHeight w:val="3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компетентності</w:t>
            </w:r>
          </w:p>
        </w:tc>
        <w:tc>
          <w:tcPr>
            <w:tcW w:w="7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 w:rsidP="00A21505">
            <w:pPr>
              <w:spacing w:line="318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129F5" w:rsidTr="00A4267A">
        <w:trPr>
          <w:trHeight w:val="32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129F5" w:rsidRDefault="003129F5">
            <w:pPr>
              <w:spacing w:line="318" w:lineRule="exact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A4267A" w:rsidTr="00A21505">
        <w:trPr>
          <w:trHeight w:val="323"/>
        </w:trPr>
        <w:tc>
          <w:tcPr>
            <w:tcW w:w="103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67A" w:rsidRDefault="00A4267A" w:rsidP="00A4267A">
            <w:pPr>
              <w:spacing w:line="318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Академічна мобільність</w:t>
            </w:r>
          </w:p>
        </w:tc>
      </w:tr>
      <w:tr w:rsidR="00A4267A" w:rsidTr="00A21505">
        <w:trPr>
          <w:trHeight w:val="32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67A" w:rsidRPr="004C548F" w:rsidRDefault="00A4267A" w:rsidP="00A2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Національна кредитна мобільність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67A" w:rsidRPr="004C548F" w:rsidRDefault="00A4267A" w:rsidP="00A2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Здійснюється за індивідуальними договорами учасників освітнього процесу Угода про програму паралельного навчання для студентів та отримання другого диплому, спільні </w:t>
            </w:r>
            <w:proofErr w:type="gram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proofErr w:type="gram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ідження в межах наукових програм між Вищої школи менед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жменту в </w:t>
            </w:r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Легніці (Польща) і ПЗВО МКУ імені Пилипа Орлика (з 2016 р.)</w:t>
            </w:r>
          </w:p>
        </w:tc>
      </w:tr>
      <w:tr w:rsidR="00A4267A" w:rsidTr="00A21505">
        <w:trPr>
          <w:trHeight w:val="32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67A" w:rsidRPr="004C548F" w:rsidRDefault="00A4267A" w:rsidP="00A2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Міжнародна кредитна мобільність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67A" w:rsidRPr="004C548F" w:rsidRDefault="00A4267A" w:rsidP="00A2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Згідно з угодами про </w:t>
            </w:r>
            <w:proofErr w:type="gram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іжнародну кредитну мобільність, зокрема ERASMUS+</w:t>
            </w:r>
          </w:p>
        </w:tc>
      </w:tr>
      <w:tr w:rsidR="00A4267A" w:rsidTr="00A21505">
        <w:trPr>
          <w:trHeight w:val="32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67A" w:rsidRPr="004C548F" w:rsidRDefault="00A4267A" w:rsidP="00A215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48F">
              <w:rPr>
                <w:rFonts w:ascii="Times New Roman" w:hAnsi="Times New Roman" w:cs="Times New Roman"/>
                <w:b/>
                <w:sz w:val="28"/>
                <w:szCs w:val="28"/>
              </w:rPr>
              <w:t>Навчання іноземних здобувачів вищої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267A" w:rsidRPr="004C548F" w:rsidRDefault="00A4267A" w:rsidP="00A2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48F">
              <w:rPr>
                <w:rFonts w:ascii="Times New Roman" w:hAnsi="Times New Roman" w:cs="Times New Roman"/>
                <w:sz w:val="28"/>
                <w:szCs w:val="28"/>
              </w:rPr>
              <w:t xml:space="preserve">Можливе навчання </w:t>
            </w:r>
            <w:proofErr w:type="gramStart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End"/>
            <w:r w:rsidRPr="004C548F">
              <w:rPr>
                <w:rFonts w:ascii="Times New Roman" w:hAnsi="Times New Roman" w:cs="Times New Roman"/>
                <w:sz w:val="28"/>
                <w:szCs w:val="28"/>
              </w:rPr>
              <w:t>ійською мовою або після вивчення курсу української мови</w:t>
            </w:r>
          </w:p>
        </w:tc>
      </w:tr>
      <w:tr w:rsidR="00A4267A" w:rsidTr="00A21505">
        <w:trPr>
          <w:trHeight w:val="323"/>
        </w:trPr>
        <w:tc>
          <w:tcPr>
            <w:tcW w:w="10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4267A" w:rsidRPr="00A4267A" w:rsidRDefault="00A4267A" w:rsidP="00A4267A">
            <w:pPr>
              <w:spacing w:line="235" w:lineRule="auto"/>
              <w:ind w:left="6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Нормативний змі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</w:rPr>
              <w:t>ст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</w:rPr>
              <w:t xml:space="preserve"> підготовки здобувачів вищої освіти, сформульований у термінах результатів навчання</w:t>
            </w:r>
          </w:p>
          <w:p w:rsidR="00A4267A" w:rsidRDefault="00A4267A" w:rsidP="00A4267A">
            <w:pPr>
              <w:numPr>
                <w:ilvl w:val="0"/>
                <w:numId w:val="3"/>
              </w:numPr>
              <w:tabs>
                <w:tab w:val="left" w:pos="727"/>
              </w:tabs>
              <w:spacing w:line="237" w:lineRule="auto"/>
              <w:ind w:left="6" w:hanging="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Оцінювати основні демографічні та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еп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ідеміологічні показники, значення і тенденції зміни основних детермінант, що чинять вплив на здоров’я у розрізі різних груп населення в Україні, Європейському регіоні та світі, застосовувати основні поняття та концепції епідеміології та статистики при плануванні, проведенні та інтерпретації результатів досліджень.</w:t>
            </w:r>
          </w:p>
          <w:p w:rsidR="00A4267A" w:rsidRDefault="00A4267A" w:rsidP="00A4267A">
            <w:pPr>
              <w:spacing w:line="4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3"/>
              </w:numPr>
              <w:tabs>
                <w:tab w:val="left" w:pos="726"/>
              </w:tabs>
              <w:spacing w:line="0" w:lineRule="atLeast"/>
              <w:ind w:left="726" w:hanging="7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Визначати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іоритети  та  оцінювати  потреби  сфери  громадського  здоров’я,</w:t>
            </w:r>
          </w:p>
          <w:p w:rsidR="00A4267A" w:rsidRDefault="00A4267A" w:rsidP="00A4267A">
            <w:pPr>
              <w:spacing w:line="114" w:lineRule="exact"/>
              <w:rPr>
                <w:rFonts w:ascii="Times New Roman" w:eastAsia="Times New Roman" w:hAnsi="Times New Roman"/>
              </w:rPr>
            </w:pPr>
            <w:bookmarkStart w:id="6" w:name="page9"/>
            <w:bookmarkEnd w:id="6"/>
          </w:p>
          <w:p w:rsidR="00A4267A" w:rsidRDefault="00A4267A" w:rsidP="00A4267A">
            <w:pPr>
              <w:spacing w:line="235" w:lineRule="auto"/>
              <w:ind w:left="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пропонувати науково обґрунтовані заходи та розробляти відповідні висновки та стратегії, які спрямовані на покращення галузі охорони здоров’я.</w:t>
            </w:r>
          </w:p>
          <w:p w:rsidR="00A4267A" w:rsidRDefault="00A4267A" w:rsidP="00A4267A">
            <w:pPr>
              <w:spacing w:line="15" w:lineRule="exact"/>
              <w:rPr>
                <w:rFonts w:ascii="Times New Roman" w:eastAsia="Times New Roman" w:hAnsi="Times New Roman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4" w:lineRule="auto"/>
              <w:ind w:left="6" w:hanging="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Організовувати заходи з нагляду за станом здоров’я населення з використанням міжсекторального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ідходу.</w:t>
            </w:r>
          </w:p>
          <w:p w:rsidR="00A4267A" w:rsidRDefault="00A4267A" w:rsidP="00A4267A">
            <w:pPr>
              <w:spacing w:line="15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7" w:lineRule="auto"/>
              <w:ind w:left="6" w:hanging="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lastRenderedPageBreak/>
              <w:t>Формулювати висновки, розробляти прогнози та проводити аналіз впливу детермінант на здоров’я населення (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іальні, економічні, індивідуальні, навколишнього середовища), визначати потреби різних груп населення щодо здоров’я, базуючись на інформації отриманій із систем епідеміологічного нагляду.</w:t>
            </w:r>
          </w:p>
          <w:p w:rsidR="00A4267A" w:rsidRDefault="00A4267A" w:rsidP="00A4267A">
            <w:pPr>
              <w:spacing w:line="17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6" w:lineRule="auto"/>
              <w:ind w:left="6" w:hanging="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Визначати та застосовувати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ільні заходи і методи попередження і контролю фізичних, хімічних, біологічних, радіаційних та ядерних загроз для здоров’я і безпеки населення.</w:t>
            </w:r>
          </w:p>
          <w:p w:rsidR="00A4267A" w:rsidRDefault="00A4267A" w:rsidP="00A4267A">
            <w:pPr>
              <w:spacing w:line="14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4" w:lineRule="auto"/>
              <w:ind w:left="6" w:hanging="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Оцінювати ризики та планувати відповідні дії у випадках надзвичайних ситуацій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сфері громадського здоров’я.</w:t>
            </w:r>
          </w:p>
          <w:p w:rsidR="00A4267A" w:rsidRDefault="00A4267A" w:rsidP="00A4267A">
            <w:pPr>
              <w:spacing w:line="18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7" w:lineRule="auto"/>
              <w:ind w:left="6" w:hanging="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Ідентифікувати, аналізувати ризики,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пов’язан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 з впливом на здоров’я населення детермінант навколишнього середовища (фізичних, радіаційних, хімічних, біологічних та виробничих) та організовувати відповідні заходи, спрямовані на захист здоров’я населення.</w:t>
            </w:r>
          </w:p>
          <w:p w:rsidR="00A4267A" w:rsidRDefault="00A4267A" w:rsidP="00A4267A">
            <w:pPr>
              <w:spacing w:line="14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6" w:lineRule="auto"/>
              <w:ind w:left="6" w:hanging="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Оцінювати вплив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іальних детермінант та основних індивідуальних детермінант здоров’я, розробляти відповідні заходи з метою збереження та зміцнення здоров’я населення.</w:t>
            </w:r>
          </w:p>
          <w:p w:rsidR="00A4267A" w:rsidRDefault="00A4267A" w:rsidP="00A4267A">
            <w:pPr>
              <w:spacing w:line="17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4" w:lineRule="auto"/>
              <w:ind w:left="6" w:hanging="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Розробляти заходи з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ілактики (первинної, вторинної та третинної) захворювань та сприяти їх реалізації на практиці.</w:t>
            </w:r>
          </w:p>
          <w:p w:rsidR="00A4267A" w:rsidRDefault="00A4267A" w:rsidP="00A4267A">
            <w:pPr>
              <w:spacing w:line="15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6" w:lineRule="auto"/>
              <w:ind w:left="6" w:hanging="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Розробляти та впроваджувати стратегії, політики та окремі заходи у сфері промоції здоров’я, здійснювати ефективну комунікацію у сфері громадського здоров’я з використанням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ізних каналів та технік комунікації.</w:t>
            </w:r>
          </w:p>
          <w:p w:rsidR="00A4267A" w:rsidRDefault="00A4267A" w:rsidP="00A4267A">
            <w:pPr>
              <w:spacing w:line="15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7" w:lineRule="auto"/>
              <w:ind w:left="6" w:hanging="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Розробляти та впроваджувати системи моніторингу і оцінки ефективності інтервенцій,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проф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ілактичних та діагностичних або скринінгових програм та політик в громадському здоров’ї.</w:t>
            </w:r>
          </w:p>
          <w:p w:rsidR="00A4267A" w:rsidRDefault="00A4267A" w:rsidP="00A4267A">
            <w:pPr>
              <w:spacing w:line="13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4" w:lineRule="auto"/>
              <w:ind w:left="6" w:hanging="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Здійснювати аналіз ефективності розроблених процедур, інтервенцій, стратегій та політик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сфері громадського здоров’я.</w:t>
            </w:r>
          </w:p>
          <w:p w:rsidR="00A4267A" w:rsidRDefault="00A4267A" w:rsidP="00A4267A">
            <w:pPr>
              <w:spacing w:line="15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6" w:lineRule="auto"/>
              <w:ind w:left="6" w:hanging="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Розробляти та впроваджувати, засновані на доказах стратегії, політики та інтервенції громадського здоров’я із залученням зацікавлених сторін на основі міжсекторального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ідходу.</w:t>
            </w:r>
          </w:p>
          <w:p w:rsidR="00A4267A" w:rsidRDefault="00A4267A" w:rsidP="00A4267A">
            <w:pPr>
              <w:spacing w:line="17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4" w:lineRule="auto"/>
              <w:ind w:left="6" w:hanging="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Розширювати розуміння засад сфери громадського здоров’я у закладах освіти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ізного рівня та реалізовувати заходи спрямовані на розвиток кадрового потенціалу.</w:t>
            </w:r>
          </w:p>
          <w:p w:rsidR="00A4267A" w:rsidRDefault="00A4267A" w:rsidP="00A4267A">
            <w:pPr>
              <w:spacing w:line="15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4" w:lineRule="auto"/>
              <w:ind w:left="6" w:hanging="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Здійснювати наставництво та сприяти безперервному професійному розвитку фахівців з громадського здоров’я.</w:t>
            </w:r>
          </w:p>
          <w:p w:rsidR="00A4267A" w:rsidRDefault="00A4267A" w:rsidP="00A4267A">
            <w:pPr>
              <w:spacing w:line="15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4" w:lineRule="auto"/>
              <w:ind w:left="6" w:hanging="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Виконувати управлінські функції та організовувати надання якісних послуг у сфері громадського здоров’я.</w:t>
            </w:r>
          </w:p>
          <w:p w:rsidR="00A4267A" w:rsidRDefault="00A4267A" w:rsidP="00A4267A">
            <w:pPr>
              <w:spacing w:line="17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6" w:lineRule="auto"/>
              <w:ind w:left="6" w:hanging="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Здійснювати адвокацію, комунікацію та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іальну мобілізацію у сфері громадського здоров’я, підтримувати лідерство та залучати і посилювати спільноти з метою збереження і зміцнення здоров’я населення.</w:t>
            </w:r>
          </w:p>
          <w:p w:rsidR="00A4267A" w:rsidRDefault="00A4267A" w:rsidP="00A4267A">
            <w:pPr>
              <w:spacing w:line="14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Pr="00A4267A" w:rsidRDefault="00A4267A" w:rsidP="00A4267A">
            <w:pPr>
              <w:numPr>
                <w:ilvl w:val="0"/>
                <w:numId w:val="4"/>
              </w:numPr>
              <w:tabs>
                <w:tab w:val="left" w:pos="727"/>
              </w:tabs>
              <w:spacing w:line="236" w:lineRule="auto"/>
              <w:ind w:left="6" w:hanging="6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Критично оцінювати результати наукових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іджень та здійснювати пошук потрібної наукової інформації у сфері громадського здоров’я, аналізувати інформацію, здійснювати дослідження, формулювати за його результатами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 w:rsidRPr="00A4267A">
              <w:rPr>
                <w:rFonts w:ascii="Times New Roman" w:eastAsia="Times New Roman" w:hAnsi="Times New Roman"/>
                <w:sz w:val="28"/>
              </w:rPr>
              <w:t>висновки та рекомендації щодо їх впровадження.</w:t>
            </w:r>
          </w:p>
          <w:p w:rsidR="00A4267A" w:rsidRDefault="00A4267A" w:rsidP="00A4267A">
            <w:pPr>
              <w:spacing w:line="2" w:lineRule="exact"/>
              <w:rPr>
                <w:rFonts w:ascii="Times New Roman" w:eastAsia="Times New Roman" w:hAnsi="Times New Roman"/>
              </w:rPr>
            </w:pPr>
          </w:p>
          <w:p w:rsidR="00A4267A" w:rsidRDefault="00A4267A" w:rsidP="00A4267A">
            <w:pPr>
              <w:numPr>
                <w:ilvl w:val="0"/>
                <w:numId w:val="5"/>
              </w:numPr>
              <w:tabs>
                <w:tab w:val="left" w:pos="840"/>
              </w:tabs>
              <w:spacing w:line="0" w:lineRule="atLeast"/>
              <w:ind w:left="840" w:hanging="7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Визначати та аргументувати перспективні напрями власної наукової роботи.</w:t>
            </w:r>
          </w:p>
          <w:p w:rsidR="00A4267A" w:rsidRDefault="00A4267A" w:rsidP="00A4267A">
            <w:pPr>
              <w:spacing w:line="13" w:lineRule="exact"/>
              <w:rPr>
                <w:rFonts w:ascii="Times New Roman" w:eastAsia="Times New Roman" w:hAnsi="Times New Roman"/>
                <w:sz w:val="28"/>
              </w:rPr>
            </w:pPr>
          </w:p>
          <w:p w:rsidR="00A4267A" w:rsidRPr="00A4267A" w:rsidRDefault="00A4267A" w:rsidP="00A4267A">
            <w:pPr>
              <w:numPr>
                <w:ilvl w:val="0"/>
                <w:numId w:val="5"/>
              </w:numPr>
              <w:tabs>
                <w:tab w:val="left" w:pos="840"/>
              </w:tabs>
              <w:spacing w:line="234" w:lineRule="auto"/>
              <w:ind w:left="120" w:hanging="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Презентувати результати власних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іджень у формі доповідей, презентацій та наукових публікацій державною та англійською мовами.</w:t>
            </w:r>
          </w:p>
        </w:tc>
      </w:tr>
    </w:tbl>
    <w:p w:rsidR="00A4267A" w:rsidRDefault="00A4267A" w:rsidP="00A4267A">
      <w:pPr>
        <w:spacing w:line="20" w:lineRule="exact"/>
        <w:rPr>
          <w:rFonts w:ascii="Times New Roman" w:eastAsia="Times New Roman" w:hAnsi="Times New Roman"/>
          <w:sz w:val="28"/>
          <w:lang w:val="uk-UA"/>
        </w:rPr>
      </w:pPr>
      <w:bookmarkStart w:id="7" w:name="page8"/>
      <w:bookmarkEnd w:id="7"/>
    </w:p>
    <w:p w:rsidR="00A4267A" w:rsidRDefault="00A4267A">
      <w:pPr>
        <w:spacing w:line="100" w:lineRule="exact"/>
        <w:rPr>
          <w:rFonts w:ascii="Times New Roman" w:eastAsia="Times New Roman" w:hAnsi="Times New Roman"/>
          <w:lang w:val="uk-UA"/>
        </w:rPr>
      </w:pPr>
      <w:bookmarkStart w:id="8" w:name="page10"/>
      <w:bookmarkEnd w:id="8"/>
    </w:p>
    <w:p w:rsidR="00A4267A" w:rsidRPr="00A4267A" w:rsidRDefault="00A4267A">
      <w:pPr>
        <w:spacing w:line="100" w:lineRule="exact"/>
        <w:rPr>
          <w:rFonts w:ascii="Times New Roman" w:eastAsia="Times New Roman" w:hAnsi="Times New Roman"/>
          <w:lang w:val="uk-UA"/>
        </w:rPr>
      </w:pPr>
    </w:p>
    <w:p w:rsidR="00F17DBC" w:rsidRDefault="00216C5F" w:rsidP="00A4267A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Форми атестації здобувачів вищої освіти</w:t>
      </w:r>
    </w:p>
    <w:p w:rsidR="00F17DBC" w:rsidRDefault="00F17DBC">
      <w:pPr>
        <w:spacing w:line="306" w:lineRule="exact"/>
        <w:rPr>
          <w:rFonts w:ascii="Times New Roman" w:eastAsia="Times New Roman" w:hAnsi="Times New Roman"/>
        </w:rPr>
      </w:pPr>
    </w:p>
    <w:tbl>
      <w:tblPr>
        <w:tblW w:w="103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200"/>
        <w:gridCol w:w="1320"/>
        <w:gridCol w:w="740"/>
        <w:gridCol w:w="1440"/>
        <w:gridCol w:w="1780"/>
      </w:tblGrid>
      <w:tr w:rsidR="00F17DBC" w:rsidTr="00A4267A">
        <w:trPr>
          <w:trHeight w:val="386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lastRenderedPageBreak/>
              <w:t>Форми атестації</w:t>
            </w:r>
          </w:p>
        </w:tc>
        <w:tc>
          <w:tcPr>
            <w:tcW w:w="7480" w:type="dxa"/>
            <w:gridSpan w:val="5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Атестація має здійснюватись у формі публічного захисту</w:t>
            </w:r>
          </w:p>
        </w:tc>
      </w:tr>
      <w:tr w:rsidR="00F17DBC" w:rsidTr="00A4267A">
        <w:trPr>
          <w:trHeight w:val="322"/>
        </w:trPr>
        <w:tc>
          <w:tcPr>
            <w:tcW w:w="28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здобувачів вищої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F17DBC" w:rsidRDefault="00216C5F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кваліфікаційної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F17DBC" w:rsidRDefault="00216C5F">
            <w:pPr>
              <w:spacing w:line="317" w:lineRule="exac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роботи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F17DBC" w:rsidRDefault="00216C5F">
            <w:pPr>
              <w:spacing w:line="317" w:lineRule="exact"/>
              <w:ind w:left="2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та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17DBC" w:rsidRDefault="00216C5F">
            <w:pPr>
              <w:spacing w:line="317" w:lineRule="exac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єдиного</w:t>
            </w:r>
          </w:p>
        </w:tc>
        <w:tc>
          <w:tcPr>
            <w:tcW w:w="178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317" w:lineRule="exact"/>
              <w:ind w:left="24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державного</w:t>
            </w:r>
          </w:p>
        </w:tc>
      </w:tr>
      <w:tr w:rsidR="00F17DBC" w:rsidTr="00A4267A">
        <w:trPr>
          <w:trHeight w:val="323"/>
        </w:trPr>
        <w:tc>
          <w:tcPr>
            <w:tcW w:w="2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освіти</w:t>
            </w:r>
          </w:p>
        </w:tc>
        <w:tc>
          <w:tcPr>
            <w:tcW w:w="5700" w:type="dxa"/>
            <w:gridSpan w:val="4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317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кваліфікаційного іспиту зі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іальності.</w:t>
            </w: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37CE2" w:rsidTr="00637CE2">
        <w:trPr>
          <w:trHeight w:val="1702"/>
        </w:trPr>
        <w:tc>
          <w:tcPr>
            <w:tcW w:w="2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37CE2" w:rsidRDefault="00637CE2" w:rsidP="00637CE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Вимоги до</w:t>
            </w:r>
          </w:p>
          <w:p w:rsidR="00637CE2" w:rsidRDefault="00637CE2" w:rsidP="00637CE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кваліфікаційної</w:t>
            </w:r>
          </w:p>
          <w:p w:rsidR="00637CE2" w:rsidRDefault="00637CE2" w:rsidP="00637CE2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роботи</w:t>
            </w:r>
          </w:p>
        </w:tc>
        <w:tc>
          <w:tcPr>
            <w:tcW w:w="7480" w:type="dxa"/>
            <w:gridSpan w:val="5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637CE2" w:rsidRPr="00637CE2" w:rsidRDefault="00637CE2" w:rsidP="00637CE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</w:rPr>
              <w:t>Кваліфікаційна робота має продемонструвати здатність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розв’язувати складні задачі і проблеми у галузі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громадського   здоров’я або у процесі навчання, що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характеризуються   невизначеністю умов і вимог та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 xml:space="preserve">передбачають проведення  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іджень або здійснення</w:t>
            </w:r>
            <w:r>
              <w:rPr>
                <w:rFonts w:ascii="Times New Roman" w:eastAsia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</w:rPr>
              <w:t>інновацій.</w:t>
            </w:r>
          </w:p>
        </w:tc>
      </w:tr>
      <w:tr w:rsidR="00F17DBC" w:rsidTr="00637CE2">
        <w:trPr>
          <w:trHeight w:val="370"/>
        </w:trPr>
        <w:tc>
          <w:tcPr>
            <w:tcW w:w="28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Вимоги до єдиного</w:t>
            </w:r>
          </w:p>
        </w:tc>
        <w:tc>
          <w:tcPr>
            <w:tcW w:w="7480" w:type="dxa"/>
            <w:gridSpan w:val="5"/>
            <w:tcBorders>
              <w:top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 w:rsidP="00637CE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Єдиний державний кваліфікаційний іспит –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це л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іцензійний</w:t>
            </w:r>
          </w:p>
        </w:tc>
      </w:tr>
      <w:tr w:rsidR="00F17DBC" w:rsidTr="00A4267A">
        <w:trPr>
          <w:trHeight w:val="322"/>
        </w:trPr>
        <w:tc>
          <w:tcPr>
            <w:tcW w:w="28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державного</w:t>
            </w:r>
          </w:p>
        </w:tc>
        <w:tc>
          <w:tcPr>
            <w:tcW w:w="7480" w:type="dxa"/>
            <w:gridSpan w:val="5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637CE2" w:rsidP="00637CE2">
            <w:pPr>
              <w:spacing w:line="317" w:lineRule="exac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інтегрований  іспит</w:t>
            </w:r>
            <w:r w:rsidR="00216C5F">
              <w:rPr>
                <w:rFonts w:ascii="Times New Roman" w:eastAsia="Times New Roman" w:hAnsi="Times New Roman"/>
                <w:sz w:val="28"/>
              </w:rPr>
              <w:t xml:space="preserve"> «Крок»,</w:t>
            </w:r>
            <w:r>
              <w:rPr>
                <w:rFonts w:ascii="Times New Roman" w:eastAsia="Times New Roman" w:hAnsi="Times New Roman"/>
                <w:sz w:val="28"/>
              </w:rPr>
              <w:t xml:space="preserve"> який проводиться у </w:t>
            </w:r>
            <w:r w:rsidR="00216C5F">
              <w:rPr>
                <w:rFonts w:ascii="Times New Roman" w:eastAsia="Times New Roman" w:hAnsi="Times New Roman"/>
                <w:sz w:val="28"/>
              </w:rPr>
              <w:t>формі</w:t>
            </w:r>
          </w:p>
        </w:tc>
      </w:tr>
      <w:tr w:rsidR="00F17DBC" w:rsidTr="00A4267A">
        <w:trPr>
          <w:trHeight w:val="322"/>
        </w:trPr>
        <w:tc>
          <w:tcPr>
            <w:tcW w:w="28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кваліфікаційного</w:t>
            </w:r>
          </w:p>
        </w:tc>
        <w:tc>
          <w:tcPr>
            <w:tcW w:w="7480" w:type="dxa"/>
            <w:gridSpan w:val="5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637CE2" w:rsidP="00637CE2">
            <w:pPr>
              <w:spacing w:line="317" w:lineRule="exac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стандартизованого </w:t>
            </w:r>
            <w:r w:rsidR="00216C5F">
              <w:rPr>
                <w:rFonts w:ascii="Times New Roman" w:eastAsia="Times New Roman" w:hAnsi="Times New Roman"/>
                <w:sz w:val="28"/>
              </w:rPr>
              <w:t>незалежног</w:t>
            </w:r>
            <w:r>
              <w:rPr>
                <w:rFonts w:ascii="Times New Roman" w:eastAsia="Times New Roman" w:hAnsi="Times New Roman"/>
                <w:sz w:val="28"/>
              </w:rPr>
              <w:t xml:space="preserve">о тестування відповідно </w:t>
            </w:r>
            <w:proofErr w:type="gramStart"/>
            <w:r w:rsidR="00216C5F">
              <w:rPr>
                <w:rFonts w:ascii="Times New Roman" w:eastAsia="Times New Roman" w:hAnsi="Times New Roman"/>
                <w:sz w:val="28"/>
              </w:rPr>
              <w:t>до</w:t>
            </w:r>
            <w:proofErr w:type="gramEnd"/>
          </w:p>
        </w:tc>
      </w:tr>
      <w:tr w:rsidR="00F17DBC" w:rsidTr="00A4267A">
        <w:trPr>
          <w:trHeight w:val="322"/>
        </w:trPr>
        <w:tc>
          <w:tcPr>
            <w:tcW w:w="28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іспиту</w:t>
            </w:r>
          </w:p>
        </w:tc>
        <w:tc>
          <w:tcPr>
            <w:tcW w:w="7480" w:type="dxa"/>
            <w:gridSpan w:val="5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637CE2" w:rsidP="00637CE2">
            <w:pPr>
              <w:spacing w:line="317" w:lineRule="exac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Постанови Кабінету Міні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стр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ів України від </w:t>
            </w:r>
            <w:r w:rsidR="00216C5F">
              <w:rPr>
                <w:rFonts w:ascii="Times New Roman" w:eastAsia="Times New Roman" w:hAnsi="Times New Roman"/>
                <w:sz w:val="28"/>
              </w:rPr>
              <w:t>28</w:t>
            </w:r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r w:rsidR="00216C5F">
              <w:rPr>
                <w:rFonts w:ascii="Times New Roman" w:eastAsia="Times New Roman" w:hAnsi="Times New Roman"/>
                <w:sz w:val="28"/>
              </w:rPr>
              <w:t>березня</w:t>
            </w:r>
          </w:p>
        </w:tc>
      </w:tr>
      <w:tr w:rsidR="00F17DBC" w:rsidTr="00A4267A">
        <w:trPr>
          <w:trHeight w:val="317"/>
        </w:trPr>
        <w:tc>
          <w:tcPr>
            <w:tcW w:w="28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5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 w:rsidP="00637CE2">
            <w:pPr>
              <w:spacing w:line="317" w:lineRule="exac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2018 р</w:t>
            </w:r>
            <w:r w:rsidR="00637CE2">
              <w:rPr>
                <w:rFonts w:ascii="Times New Roman" w:eastAsia="Times New Roman" w:hAnsi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</w:rPr>
              <w:t>«</w:t>
            </w:r>
            <w:r w:rsidR="00637CE2">
              <w:rPr>
                <w:rFonts w:ascii="Times New Roman" w:eastAsia="Times New Roman" w:hAnsi="Times New Roman"/>
                <w:sz w:val="28"/>
              </w:rPr>
              <w:t>Про затвердження Порядку</w:t>
            </w:r>
            <w:r>
              <w:rPr>
                <w:rFonts w:ascii="Times New Roman" w:eastAsia="Times New Roman" w:hAnsi="Times New Roman"/>
                <w:sz w:val="28"/>
              </w:rPr>
              <w:t xml:space="preserve"> здійснення єдиного</w:t>
            </w:r>
          </w:p>
        </w:tc>
      </w:tr>
      <w:tr w:rsidR="00F17DBC" w:rsidTr="00A4267A">
        <w:trPr>
          <w:trHeight w:val="322"/>
        </w:trPr>
        <w:tc>
          <w:tcPr>
            <w:tcW w:w="28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5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637CE2" w:rsidP="00637CE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державного кваліфікаційного іспиту для</w:t>
            </w:r>
            <w:r w:rsidR="00216C5F">
              <w:rPr>
                <w:rFonts w:ascii="Times New Roman" w:eastAsia="Times New Roman" w:hAnsi="Times New Roman"/>
                <w:sz w:val="28"/>
              </w:rPr>
              <w:t xml:space="preserve"> здобувачів</w:t>
            </w:r>
          </w:p>
        </w:tc>
      </w:tr>
      <w:tr w:rsidR="00F17DBC" w:rsidTr="00A4267A">
        <w:trPr>
          <w:trHeight w:val="324"/>
        </w:trPr>
        <w:tc>
          <w:tcPr>
            <w:tcW w:w="2860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80" w:type="dxa"/>
            <w:gridSpan w:val="5"/>
            <w:tcBorders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216C5F" w:rsidP="00637CE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освітнього ступеня магі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стра за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 xml:space="preserve"> спеціальностями галузі знань</w:t>
            </w:r>
          </w:p>
        </w:tc>
      </w:tr>
      <w:tr w:rsidR="00F17DBC" w:rsidTr="00A4267A">
        <w:trPr>
          <w:trHeight w:val="325"/>
        </w:trPr>
        <w:tc>
          <w:tcPr>
            <w:tcW w:w="28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216C5F" w:rsidP="00637CE2">
            <w:pPr>
              <w:spacing w:line="0" w:lineRule="atLeast"/>
              <w:ind w:left="80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«Охорона здоров’я».</w:t>
            </w:r>
          </w:p>
        </w:tc>
        <w:tc>
          <w:tcPr>
            <w:tcW w:w="7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 w:rsidP="00637C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:rsidR="00F17DBC" w:rsidRDefault="00F17DBC" w:rsidP="00637C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</w:tcPr>
          <w:p w:rsidR="00F17DBC" w:rsidRDefault="00F17DBC" w:rsidP="00637CE2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17DBC" w:rsidRDefault="00F17DBC">
      <w:pPr>
        <w:spacing w:line="332" w:lineRule="exact"/>
        <w:rPr>
          <w:rFonts w:ascii="Times New Roman" w:eastAsia="Times New Roman" w:hAnsi="Times New Roman"/>
        </w:rPr>
      </w:pPr>
    </w:p>
    <w:p w:rsidR="00F17DBC" w:rsidRDefault="00637CE2" w:rsidP="00A4267A">
      <w:pPr>
        <w:spacing w:line="234" w:lineRule="auto"/>
        <w:ind w:left="12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lang w:val="uk-UA"/>
        </w:rPr>
        <w:t>С</w:t>
      </w:r>
      <w:r w:rsidR="00216C5F">
        <w:rPr>
          <w:rFonts w:ascii="Times New Roman" w:eastAsia="Times New Roman" w:hAnsi="Times New Roman"/>
          <w:b/>
          <w:sz w:val="28"/>
        </w:rPr>
        <w:t>истем</w:t>
      </w:r>
      <w:r>
        <w:rPr>
          <w:rFonts w:ascii="Times New Roman" w:eastAsia="Times New Roman" w:hAnsi="Times New Roman"/>
          <w:b/>
          <w:sz w:val="28"/>
          <w:lang w:val="uk-UA"/>
        </w:rPr>
        <w:t>а</w:t>
      </w:r>
      <w:r w:rsidR="00216C5F">
        <w:rPr>
          <w:rFonts w:ascii="Times New Roman" w:eastAsia="Times New Roman" w:hAnsi="Times New Roman"/>
          <w:b/>
          <w:sz w:val="28"/>
        </w:rPr>
        <w:t xml:space="preserve"> внутрішнього забезпечення якості вищої освіти</w:t>
      </w:r>
    </w:p>
    <w:p w:rsidR="00F17DBC" w:rsidRDefault="00637CE2" w:rsidP="00637CE2">
      <w:pPr>
        <w:tabs>
          <w:tab w:val="left" w:pos="1239"/>
        </w:tabs>
        <w:spacing w:line="237" w:lineRule="auto"/>
        <w:ind w:left="82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lang w:val="uk-UA"/>
        </w:rPr>
        <w:t>З</w:t>
      </w:r>
      <w:r w:rsidR="00216C5F">
        <w:rPr>
          <w:rFonts w:ascii="Times New Roman" w:eastAsia="Times New Roman" w:hAnsi="Times New Roman"/>
          <w:sz w:val="28"/>
        </w:rPr>
        <w:t>дійснення таких процедур і заходів:</w:t>
      </w:r>
    </w:p>
    <w:p w:rsidR="00F17DBC" w:rsidRDefault="00F17DBC">
      <w:pPr>
        <w:spacing w:line="2" w:lineRule="exact"/>
        <w:rPr>
          <w:rFonts w:ascii="Times New Roman" w:eastAsia="Times New Roman" w:hAnsi="Times New Roman"/>
          <w:sz w:val="28"/>
        </w:rPr>
      </w:pPr>
    </w:p>
    <w:p w:rsidR="00F17DBC" w:rsidRDefault="00216C5F" w:rsidP="00637CE2">
      <w:pPr>
        <w:spacing w:line="0" w:lineRule="atLeast"/>
        <w:ind w:left="8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 визначення принципі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та процедур забезпечення якості вищої освіти;</w:t>
      </w:r>
    </w:p>
    <w:p w:rsidR="00F17DBC" w:rsidRDefault="00216C5F" w:rsidP="00637CE2">
      <w:pPr>
        <w:spacing w:line="0" w:lineRule="atLeast"/>
        <w:ind w:left="8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2) здійснення моніторингу та періодичного перегляду освітніх програм;</w:t>
      </w:r>
    </w:p>
    <w:p w:rsidR="00F17DBC" w:rsidRDefault="00F17DBC" w:rsidP="00637CE2">
      <w:pPr>
        <w:spacing w:line="15" w:lineRule="exact"/>
        <w:jc w:val="both"/>
        <w:rPr>
          <w:rFonts w:ascii="Times New Roman" w:eastAsia="Times New Roman" w:hAnsi="Times New Roman"/>
        </w:rPr>
      </w:pPr>
    </w:p>
    <w:p w:rsidR="00F17DBC" w:rsidRPr="00637CE2" w:rsidRDefault="00216C5F" w:rsidP="00637CE2">
      <w:pPr>
        <w:numPr>
          <w:ilvl w:val="0"/>
          <w:numId w:val="7"/>
        </w:numPr>
        <w:tabs>
          <w:tab w:val="left" w:pos="1255"/>
        </w:tabs>
        <w:spacing w:line="237" w:lineRule="auto"/>
        <w:ind w:left="120"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щорічне оцінювання здобувачів вищої освіти, науково-педагогічних і педагогічних працівникі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закладу</w:t>
      </w:r>
      <w:proofErr w:type="gramEnd"/>
      <w:r>
        <w:rPr>
          <w:rFonts w:ascii="Times New Roman" w:eastAsia="Times New Roman" w:hAnsi="Times New Roman"/>
          <w:sz w:val="28"/>
        </w:rPr>
        <w:t xml:space="preserve"> вищої освіти та регулярне оприлюднення результатів таких оцінювань на офіційному веб-сайті закладу вищої освіти, на інформаційних стендах та в будь-який інший спосіб;</w:t>
      </w:r>
      <w:bookmarkStart w:id="9" w:name="page11"/>
      <w:bookmarkEnd w:id="9"/>
    </w:p>
    <w:p w:rsidR="00F17DBC" w:rsidRDefault="00216C5F" w:rsidP="00637CE2">
      <w:pPr>
        <w:numPr>
          <w:ilvl w:val="0"/>
          <w:numId w:val="8"/>
        </w:numPr>
        <w:tabs>
          <w:tab w:val="left" w:pos="1077"/>
        </w:tabs>
        <w:spacing w:line="235" w:lineRule="auto"/>
        <w:ind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забезпечення </w:t>
      </w:r>
      <w:proofErr w:type="gramStart"/>
      <w:r>
        <w:rPr>
          <w:rFonts w:ascii="Times New Roman" w:eastAsia="Times New Roman" w:hAnsi="Times New Roman"/>
          <w:sz w:val="28"/>
        </w:rPr>
        <w:t>п</w:t>
      </w:r>
      <w:proofErr w:type="gramEnd"/>
      <w:r>
        <w:rPr>
          <w:rFonts w:ascii="Times New Roman" w:eastAsia="Times New Roman" w:hAnsi="Times New Roman"/>
          <w:sz w:val="28"/>
        </w:rPr>
        <w:t>ідвищення кваліфікації педагогічних, наукових і науково-педагогічних працівників;</w:t>
      </w:r>
    </w:p>
    <w:p w:rsidR="00F17DBC" w:rsidRDefault="00F17DBC" w:rsidP="00637CE2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F17DBC" w:rsidRDefault="00216C5F" w:rsidP="00637CE2">
      <w:pPr>
        <w:numPr>
          <w:ilvl w:val="0"/>
          <w:numId w:val="8"/>
        </w:numPr>
        <w:tabs>
          <w:tab w:val="left" w:pos="1116"/>
        </w:tabs>
        <w:spacing w:line="236" w:lineRule="auto"/>
        <w:ind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забезпечення наявності необхідних ресурсів для організації освітнього процесу, у тому числі самостійної роботи студентів, за </w:t>
      </w:r>
      <w:proofErr w:type="gramStart"/>
      <w:r>
        <w:rPr>
          <w:rFonts w:ascii="Times New Roman" w:eastAsia="Times New Roman" w:hAnsi="Times New Roman"/>
          <w:sz w:val="28"/>
        </w:rPr>
        <w:t>кожною</w:t>
      </w:r>
      <w:proofErr w:type="gramEnd"/>
      <w:r>
        <w:rPr>
          <w:rFonts w:ascii="Times New Roman" w:eastAsia="Times New Roman" w:hAnsi="Times New Roman"/>
          <w:sz w:val="28"/>
        </w:rPr>
        <w:t xml:space="preserve"> освітньою програмою;</w:t>
      </w:r>
    </w:p>
    <w:p w:rsidR="00F17DBC" w:rsidRDefault="00F17DBC" w:rsidP="00637CE2">
      <w:pPr>
        <w:spacing w:line="14" w:lineRule="exact"/>
        <w:jc w:val="both"/>
        <w:rPr>
          <w:rFonts w:ascii="Times New Roman" w:eastAsia="Times New Roman" w:hAnsi="Times New Roman"/>
          <w:sz w:val="28"/>
        </w:rPr>
      </w:pPr>
    </w:p>
    <w:p w:rsidR="00F17DBC" w:rsidRDefault="00216C5F" w:rsidP="00637CE2">
      <w:pPr>
        <w:numPr>
          <w:ilvl w:val="0"/>
          <w:numId w:val="8"/>
        </w:numPr>
        <w:tabs>
          <w:tab w:val="left" w:pos="1034"/>
        </w:tabs>
        <w:spacing w:line="234" w:lineRule="auto"/>
        <w:ind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забезпечення наявності інформаційних систем для ефективного управління освітнім процесом;</w:t>
      </w:r>
    </w:p>
    <w:p w:rsidR="00F17DBC" w:rsidRDefault="00F17DBC" w:rsidP="00637CE2">
      <w:pPr>
        <w:spacing w:line="17" w:lineRule="exact"/>
        <w:jc w:val="both"/>
        <w:rPr>
          <w:rFonts w:ascii="Times New Roman" w:eastAsia="Times New Roman" w:hAnsi="Times New Roman"/>
          <w:sz w:val="28"/>
        </w:rPr>
      </w:pPr>
    </w:p>
    <w:p w:rsidR="00F17DBC" w:rsidRDefault="00216C5F" w:rsidP="00637CE2">
      <w:pPr>
        <w:numPr>
          <w:ilvl w:val="0"/>
          <w:numId w:val="8"/>
        </w:numPr>
        <w:tabs>
          <w:tab w:val="left" w:pos="1058"/>
        </w:tabs>
        <w:spacing w:line="234" w:lineRule="auto"/>
        <w:ind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забезпечення публічності інформації про освітні програми, ступені вищої освіти та кваліфікації;</w:t>
      </w:r>
    </w:p>
    <w:p w:rsidR="00F17DBC" w:rsidRDefault="00F17DBC" w:rsidP="00637CE2">
      <w:pPr>
        <w:spacing w:line="15" w:lineRule="exact"/>
        <w:jc w:val="both"/>
        <w:rPr>
          <w:rFonts w:ascii="Times New Roman" w:eastAsia="Times New Roman" w:hAnsi="Times New Roman"/>
          <w:sz w:val="28"/>
        </w:rPr>
      </w:pPr>
    </w:p>
    <w:p w:rsidR="00F17DBC" w:rsidRDefault="00216C5F" w:rsidP="00637CE2">
      <w:pPr>
        <w:numPr>
          <w:ilvl w:val="0"/>
          <w:numId w:val="8"/>
        </w:numPr>
        <w:tabs>
          <w:tab w:val="left" w:pos="1025"/>
        </w:tabs>
        <w:spacing w:line="237" w:lineRule="auto"/>
        <w:ind w:firstLine="70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забезпечення дотримання академічної доброчесності працівниками закладів вищої освіти та здобувачами вищої освіти, </w:t>
      </w:r>
      <w:proofErr w:type="gramStart"/>
      <w:r>
        <w:rPr>
          <w:rFonts w:ascii="Times New Roman" w:eastAsia="Times New Roman" w:hAnsi="Times New Roman"/>
          <w:sz w:val="28"/>
        </w:rPr>
        <w:t>у</w:t>
      </w:r>
      <w:proofErr w:type="gramEnd"/>
      <w:r>
        <w:rPr>
          <w:rFonts w:ascii="Times New Roman" w:eastAsia="Times New Roman" w:hAnsi="Times New Roman"/>
          <w:sz w:val="28"/>
        </w:rPr>
        <w:t xml:space="preserve"> тому числі створення і забезпечення функціонування ефективної системи запобігання та виявлення академічного плагіату;</w:t>
      </w:r>
    </w:p>
    <w:p w:rsidR="00F17DBC" w:rsidRDefault="00F17DBC" w:rsidP="00637CE2">
      <w:pPr>
        <w:spacing w:line="4" w:lineRule="exact"/>
        <w:jc w:val="both"/>
        <w:rPr>
          <w:rFonts w:ascii="Times New Roman" w:eastAsia="Times New Roman" w:hAnsi="Times New Roman"/>
          <w:sz w:val="28"/>
        </w:rPr>
      </w:pPr>
    </w:p>
    <w:p w:rsidR="00F17DBC" w:rsidRDefault="00216C5F" w:rsidP="00637CE2">
      <w:pPr>
        <w:numPr>
          <w:ilvl w:val="0"/>
          <w:numId w:val="8"/>
        </w:numPr>
        <w:tabs>
          <w:tab w:val="left" w:pos="1000"/>
        </w:tabs>
        <w:spacing w:line="0" w:lineRule="atLeast"/>
        <w:ind w:left="1000" w:hanging="29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інших процедур і заході</w:t>
      </w:r>
      <w:proofErr w:type="gramStart"/>
      <w:r>
        <w:rPr>
          <w:rFonts w:ascii="Times New Roman" w:eastAsia="Times New Roman" w:hAnsi="Times New Roman"/>
          <w:sz w:val="28"/>
        </w:rPr>
        <w:t>в</w:t>
      </w:r>
      <w:proofErr w:type="gramEnd"/>
      <w:r>
        <w:rPr>
          <w:rFonts w:ascii="Times New Roman" w:eastAsia="Times New Roman" w:hAnsi="Times New Roman"/>
          <w:sz w:val="28"/>
        </w:rPr>
        <w:t>.</w:t>
      </w:r>
    </w:p>
    <w:p w:rsidR="00F17DBC" w:rsidRDefault="00F17DBC">
      <w:pPr>
        <w:spacing w:line="13" w:lineRule="exact"/>
        <w:rPr>
          <w:rFonts w:ascii="Times New Roman" w:eastAsia="Times New Roman" w:hAnsi="Times New Roman"/>
        </w:rPr>
      </w:pPr>
    </w:p>
    <w:p w:rsidR="00F17DBC" w:rsidRDefault="00F17DBC">
      <w:pPr>
        <w:tabs>
          <w:tab w:val="left" w:pos="1120"/>
        </w:tabs>
        <w:spacing w:line="0" w:lineRule="atLeast"/>
        <w:ind w:left="1120" w:hanging="418"/>
        <w:rPr>
          <w:rFonts w:ascii="Times New Roman" w:eastAsia="Times New Roman" w:hAnsi="Times New Roman"/>
          <w:sz w:val="28"/>
        </w:rPr>
        <w:sectPr w:rsidR="00F17DBC">
          <w:pgSz w:w="11900" w:h="16838"/>
          <w:pgMar w:top="702" w:right="706" w:bottom="657" w:left="1000" w:header="0" w:footer="0" w:gutter="0"/>
          <w:cols w:space="0" w:equalWidth="0">
            <w:col w:w="10200"/>
          </w:cols>
          <w:docGrid w:linePitch="360"/>
        </w:sectPr>
      </w:pPr>
    </w:p>
    <w:p w:rsidR="00F17DBC" w:rsidRDefault="00F17DBC">
      <w:pPr>
        <w:spacing w:line="100" w:lineRule="exact"/>
        <w:rPr>
          <w:rFonts w:ascii="Times New Roman" w:eastAsia="Times New Roman" w:hAnsi="Times New Roman"/>
        </w:rPr>
      </w:pPr>
      <w:bookmarkStart w:id="10" w:name="page12"/>
      <w:bookmarkStart w:id="11" w:name="page13"/>
      <w:bookmarkStart w:id="12" w:name="page14"/>
      <w:bookmarkEnd w:id="10"/>
      <w:bookmarkEnd w:id="11"/>
      <w:bookmarkEnd w:id="12"/>
    </w:p>
    <w:p w:rsidR="00F17DBC" w:rsidRDefault="00F17DBC">
      <w:pPr>
        <w:spacing w:line="16" w:lineRule="exact"/>
        <w:rPr>
          <w:rFonts w:ascii="Times New Roman" w:eastAsia="Times New Roman" w:hAnsi="Times New Roman"/>
        </w:rPr>
      </w:pPr>
    </w:p>
    <w:p w:rsidR="00F17DBC" w:rsidRDefault="00216C5F" w:rsidP="00637CE2">
      <w:pPr>
        <w:spacing w:line="234" w:lineRule="auto"/>
        <w:ind w:right="1140" w:firstLine="173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Матриця відповідності компетентностей дескрипторам НРК</w:t>
      </w:r>
    </w:p>
    <w:p w:rsidR="00F17DBC" w:rsidRDefault="00F17DBC">
      <w:pPr>
        <w:spacing w:line="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280"/>
        <w:gridCol w:w="2320"/>
        <w:gridCol w:w="1720"/>
        <w:gridCol w:w="2340"/>
      </w:tblGrid>
      <w:tr w:rsidR="00F17DBC">
        <w:trPr>
          <w:trHeight w:val="247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Класифікація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Знання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right="69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Уміння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  <w:shd w:val="clear" w:color="auto" w:fill="EEECE1"/>
              </w:rPr>
              <w:t>Комунікація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Автономія та</w:t>
            </w:r>
          </w:p>
        </w:tc>
      </w:tr>
      <w:tr w:rsidR="00F17DBC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b/>
                <w:sz w:val="22"/>
                <w:shd w:val="clear" w:color="auto" w:fill="EEECE1"/>
              </w:rPr>
              <w:t>компетентностей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9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Спеціалізовані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9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Розв'язання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9" w:lineRule="exact"/>
              <w:ind w:left="10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b/>
                <w:sz w:val="22"/>
                <w:shd w:val="clear" w:color="auto" w:fill="EEECE1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shd w:val="clear" w:color="auto" w:fill="EEECE1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shd w:val="clear" w:color="auto" w:fill="EEECE1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Зрозуміле і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відповідальність</w:t>
            </w:r>
          </w:p>
        </w:tc>
      </w:tr>
      <w:tr w:rsidR="00F17DBC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за НРК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концептуальні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складних задач 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недвозначне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Прийняття</w:t>
            </w:r>
          </w:p>
        </w:tc>
      </w:tr>
      <w:tr w:rsidR="00F17DBC">
        <w:trPr>
          <w:trHeight w:val="24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знання, набуті 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проблем, що потребує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донесення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ішень у складних і</w:t>
            </w:r>
          </w:p>
        </w:tc>
      </w:tr>
      <w:tr w:rsidR="00F17DBC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процесі навчання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оновлення 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власних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непередбачуваних</w:t>
            </w:r>
          </w:p>
        </w:tc>
      </w:tr>
      <w:tr w:rsidR="00F17DBC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та/або професійної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інтеграції знань, часто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висновків, 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умовах, що потребує</w:t>
            </w:r>
          </w:p>
        </w:tc>
      </w:tr>
      <w:tr w:rsidR="00F17DBC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діяльності на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івні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 умовах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також знань 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застосування нових</w:t>
            </w:r>
          </w:p>
        </w:tc>
      </w:tr>
      <w:tr w:rsidR="00F17DBC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новітніх досягнень,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неповної/недостатньої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пояснень, що їх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ідходів та</w:t>
            </w:r>
          </w:p>
        </w:tc>
      </w:tr>
      <w:tr w:rsidR="00F17DBC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які є основою 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для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right="8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інформації та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обґрунтовують,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прогнозування</w:t>
            </w:r>
          </w:p>
        </w:tc>
      </w:tr>
      <w:tr w:rsidR="00F17DBC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оригінального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суперечливих вимог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до фахівців і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b/>
                <w:sz w:val="22"/>
                <w:shd w:val="clear" w:color="auto" w:fill="EEECE1"/>
              </w:rPr>
              <w:t>АВ2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shd w:val="clear" w:color="auto" w:fill="EEECE1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ідповідальність</w:t>
            </w:r>
          </w:p>
        </w:tc>
      </w:tr>
      <w:tr w:rsidR="00F17DBC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мислення 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Провадження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нефахівці</w:t>
            </w:r>
            <w:proofErr w:type="gramStart"/>
            <w:r>
              <w:rPr>
                <w:rFonts w:ascii="Times New Roman" w:eastAsia="Times New Roman" w:hAnsi="Times New Roman"/>
                <w:sz w:val="22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за розвиток</w:t>
            </w:r>
          </w:p>
        </w:tc>
      </w:tr>
      <w:tr w:rsidR="00F17DBC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інноваційної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ідницької та/або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зокрема до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професійного знання і</w:t>
            </w:r>
          </w:p>
        </w:tc>
      </w:tr>
      <w:tr w:rsidR="00F17DBC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діяльності, зокрема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інноваційної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осіб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, які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практик, оцінку</w:t>
            </w:r>
          </w:p>
        </w:tc>
      </w:tr>
      <w:tr w:rsidR="00F17DBC">
        <w:trPr>
          <w:trHeight w:val="25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контексті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діяльності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навчаються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стратегічного</w:t>
            </w:r>
          </w:p>
        </w:tc>
      </w:tr>
      <w:tr w:rsidR="00F17DBC">
        <w:trPr>
          <w:trHeight w:val="25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досл</w:t>
            </w:r>
            <w:proofErr w:type="gramEnd"/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ідницької роботи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розвитку команди</w:t>
            </w:r>
          </w:p>
        </w:tc>
      </w:tr>
      <w:tr w:rsidR="00F17DBC">
        <w:trPr>
          <w:trHeight w:val="247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Критичне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Використання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АВ3 </w:t>
            </w:r>
            <w:r>
              <w:rPr>
                <w:rFonts w:ascii="Times New Roman" w:eastAsia="Times New Roman" w:hAnsi="Times New Roman"/>
                <w:sz w:val="22"/>
              </w:rPr>
              <w:t>Здатність до</w:t>
            </w:r>
          </w:p>
        </w:tc>
      </w:tr>
      <w:tr w:rsidR="00F17DBC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осмислення проблем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іноземних мов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подальшого навчання,</w:t>
            </w:r>
          </w:p>
        </w:tc>
      </w:tr>
      <w:tr w:rsidR="00F17DBC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 навчанні та/або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у професійній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яке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значною мірою є</w:t>
            </w:r>
          </w:p>
        </w:tc>
      </w:tr>
      <w:tr w:rsidR="00F17DBC">
        <w:trPr>
          <w:trHeight w:val="25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професійній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діяльності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автономним та</w:t>
            </w:r>
          </w:p>
        </w:tc>
      </w:tr>
      <w:tr w:rsidR="00F17DBC">
        <w:trPr>
          <w:trHeight w:val="2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  <w:shd w:val="clear" w:color="auto" w:fill="EEECE1"/>
              </w:rPr>
            </w:pPr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 xml:space="preserve">діяльності та </w:t>
            </w:r>
            <w:proofErr w:type="gramStart"/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2"/>
                <w:shd w:val="clear" w:color="auto" w:fill="EEECE1"/>
              </w:rPr>
              <w:t xml:space="preserve"> межі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самостійним</w:t>
            </w:r>
          </w:p>
        </w:tc>
      </w:tr>
      <w:tr w:rsidR="00F17DBC">
        <w:trPr>
          <w:trHeight w:val="257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предметних галузей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7DBC">
        <w:trPr>
          <w:trHeight w:val="245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F17DBC" w:rsidRDefault="00216C5F">
            <w:pPr>
              <w:spacing w:line="244" w:lineRule="exact"/>
              <w:ind w:right="109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Загальні компетентності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1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2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ЗК3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2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4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2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ЗК5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2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6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7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АВ3</w:t>
            </w:r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ЗК8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1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9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2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ЗК10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3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1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</w:tr>
      <w:tr w:rsidR="00F17DBC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ЗК11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ЗК12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</w:tr>
      <w:tr w:rsidR="00F17DBC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ЗК13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1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ЗК14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6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w w:val="96"/>
                <w:sz w:val="22"/>
              </w:rPr>
              <w:t>1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320" w:type="dxa"/>
            <w:gridSpan w:val="3"/>
            <w:tcBorders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ind w:left="97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>іальні (фахові) компетентності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1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2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3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СК3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4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СК5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6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</w:tr>
      <w:tr w:rsidR="00F17DBC">
        <w:trPr>
          <w:trHeight w:val="2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7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</w:tr>
      <w:tr w:rsidR="00F17DBC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СК8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</w:tr>
      <w:tr w:rsidR="00F17DBC">
        <w:trPr>
          <w:trHeight w:val="244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b/>
                <w:w w:val="97"/>
                <w:sz w:val="22"/>
              </w:rPr>
              <w:t>9</w:t>
            </w:r>
            <w:proofErr w:type="gramEnd"/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</w:tr>
      <w:tr w:rsidR="00F17DBC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СК10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СК11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СК12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left="8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Зн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42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СК13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ind w:right="85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Ум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1</w:t>
            </w:r>
            <w:proofErr w:type="gramEnd"/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АВ3</w:t>
            </w:r>
          </w:p>
        </w:tc>
      </w:tr>
      <w:tr w:rsidR="00F17DBC">
        <w:trPr>
          <w:trHeight w:val="24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СК14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3" w:lineRule="exac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К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2</w:t>
            </w:r>
            <w:proofErr w:type="gramEnd"/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43" w:lineRule="exac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АВ3</w:t>
            </w:r>
          </w:p>
        </w:tc>
      </w:tr>
    </w:tbl>
    <w:p w:rsidR="00F17DBC" w:rsidRDefault="00F17DBC">
      <w:pPr>
        <w:rPr>
          <w:rFonts w:ascii="Times New Roman" w:eastAsia="Times New Roman" w:hAnsi="Times New Roman"/>
          <w:b/>
          <w:sz w:val="22"/>
        </w:rPr>
        <w:sectPr w:rsidR="00F17DBC">
          <w:pgSz w:w="11900" w:h="16838"/>
          <w:pgMar w:top="702" w:right="406" w:bottom="950" w:left="880" w:header="0" w:footer="0" w:gutter="0"/>
          <w:cols w:space="0" w:equalWidth="0">
            <w:col w:w="1062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440"/>
        <w:gridCol w:w="120"/>
        <w:gridCol w:w="100"/>
        <w:gridCol w:w="1620"/>
        <w:gridCol w:w="120"/>
        <w:gridCol w:w="100"/>
        <w:gridCol w:w="260"/>
        <w:gridCol w:w="100"/>
        <w:gridCol w:w="260"/>
        <w:gridCol w:w="100"/>
        <w:gridCol w:w="260"/>
        <w:gridCol w:w="100"/>
        <w:gridCol w:w="260"/>
        <w:gridCol w:w="100"/>
        <w:gridCol w:w="260"/>
        <w:gridCol w:w="100"/>
        <w:gridCol w:w="260"/>
        <w:gridCol w:w="100"/>
        <w:gridCol w:w="260"/>
        <w:gridCol w:w="60"/>
        <w:gridCol w:w="40"/>
        <w:gridCol w:w="260"/>
        <w:gridCol w:w="100"/>
        <w:gridCol w:w="260"/>
        <w:gridCol w:w="100"/>
        <w:gridCol w:w="260"/>
        <w:gridCol w:w="100"/>
        <w:gridCol w:w="260"/>
        <w:gridCol w:w="100"/>
        <w:gridCol w:w="260"/>
        <w:gridCol w:w="100"/>
        <w:gridCol w:w="280"/>
        <w:gridCol w:w="40"/>
        <w:gridCol w:w="40"/>
        <w:gridCol w:w="260"/>
        <w:gridCol w:w="100"/>
        <w:gridCol w:w="260"/>
        <w:gridCol w:w="100"/>
        <w:gridCol w:w="260"/>
        <w:gridCol w:w="80"/>
        <w:gridCol w:w="260"/>
        <w:gridCol w:w="100"/>
        <w:gridCol w:w="260"/>
        <w:gridCol w:w="100"/>
        <w:gridCol w:w="280"/>
        <w:gridCol w:w="100"/>
        <w:gridCol w:w="260"/>
        <w:gridCol w:w="100"/>
        <w:gridCol w:w="260"/>
        <w:gridCol w:w="120"/>
        <w:gridCol w:w="260"/>
        <w:gridCol w:w="100"/>
        <w:gridCol w:w="260"/>
        <w:gridCol w:w="80"/>
        <w:gridCol w:w="60"/>
        <w:gridCol w:w="280"/>
        <w:gridCol w:w="100"/>
        <w:gridCol w:w="260"/>
        <w:gridCol w:w="100"/>
        <w:gridCol w:w="260"/>
        <w:gridCol w:w="100"/>
        <w:gridCol w:w="260"/>
      </w:tblGrid>
      <w:tr w:rsidR="00F17DBC">
        <w:trPr>
          <w:trHeight w:val="322"/>
        </w:trPr>
        <w:tc>
          <w:tcPr>
            <w:tcW w:w="1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3" w:name="page15"/>
            <w:bookmarkEnd w:id="13"/>
          </w:p>
        </w:tc>
        <w:tc>
          <w:tcPr>
            <w:tcW w:w="12780" w:type="dxa"/>
            <w:gridSpan w:val="54"/>
            <w:shd w:val="clear" w:color="auto" w:fill="auto"/>
            <w:vAlign w:val="bottom"/>
          </w:tcPr>
          <w:p w:rsidR="00F17DBC" w:rsidRDefault="00216C5F" w:rsidP="00637CE2">
            <w:pPr>
              <w:spacing w:line="0" w:lineRule="atLeast"/>
              <w:ind w:left="1899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Матриця відповідності результатів навчання та компетентностей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DBC">
        <w:trPr>
          <w:trHeight w:val="219"/>
        </w:trPr>
        <w:tc>
          <w:tcPr>
            <w:tcW w:w="14320" w:type="dxa"/>
            <w:gridSpan w:val="6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C7E12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Програмні результати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gridSpan w:val="9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Компетентності</w:t>
            </w: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178"/>
        </w:trPr>
        <w:tc>
          <w:tcPr>
            <w:tcW w:w="120" w:type="dxa"/>
            <w:tcBorders>
              <w:top w:val="single" w:sz="8" w:space="0" w:color="D9D9D9"/>
              <w:lef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4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178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навчання</w:t>
            </w:r>
          </w:p>
        </w:tc>
        <w:tc>
          <w:tcPr>
            <w:tcW w:w="12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80" w:type="dxa"/>
            <w:gridSpan w:val="14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216C5F">
            <w:pPr>
              <w:spacing w:line="219" w:lineRule="exact"/>
              <w:ind w:left="1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Загальні компетентності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580" w:type="dxa"/>
            <w:gridSpan w:val="20"/>
            <w:vMerge w:val="restart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20" w:lineRule="exact"/>
              <w:ind w:left="100"/>
              <w:rPr>
                <w:rFonts w:ascii="Times New Roman" w:eastAsia="Times New Roman" w:hAnsi="Times New Roman"/>
                <w:b/>
              </w:rPr>
            </w:pPr>
            <w:proofErr w:type="gramStart"/>
            <w:r>
              <w:rPr>
                <w:rFonts w:ascii="Times New Roman" w:eastAsia="Times New Roman" w:hAnsi="Times New Roman"/>
                <w:b/>
              </w:rPr>
              <w:t>Спец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іальні (фахові) компетентності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17DBC">
        <w:trPr>
          <w:trHeight w:val="73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80" w:type="dxa"/>
            <w:gridSpan w:val="14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vMerge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580" w:type="dxa"/>
            <w:gridSpan w:val="20"/>
            <w:vMerge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C7E12">
        <w:trPr>
          <w:trHeight w:val="219"/>
        </w:trPr>
        <w:tc>
          <w:tcPr>
            <w:tcW w:w="2680" w:type="dxa"/>
            <w:gridSpan w:val="3"/>
            <w:tcBorders>
              <w:top w:val="single" w:sz="8" w:space="0" w:color="D9D9D9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216C5F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Інтегральна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23"/>
              <w:rPr>
                <w:rFonts w:ascii="Times New Roman" w:eastAsia="Times New Roman" w:hAnsi="Times New Roman"/>
                <w:w w:val="73"/>
                <w:sz w:val="18"/>
              </w:rPr>
            </w:pPr>
            <w:r>
              <w:rPr>
                <w:rFonts w:ascii="Times New Roman" w:eastAsia="Times New Roman" w:hAnsi="Times New Roman"/>
                <w:w w:val="73"/>
                <w:sz w:val="1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w w:val="73"/>
                <w:sz w:val="18"/>
              </w:rPr>
              <w:t>1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23"/>
              <w:rPr>
                <w:rFonts w:ascii="Times New Roman" w:eastAsia="Times New Roman" w:hAnsi="Times New Roman"/>
                <w:w w:val="73"/>
                <w:sz w:val="18"/>
              </w:rPr>
            </w:pPr>
            <w:r>
              <w:rPr>
                <w:rFonts w:ascii="Times New Roman" w:eastAsia="Times New Roman" w:hAnsi="Times New Roman"/>
                <w:w w:val="73"/>
                <w:sz w:val="1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w w:val="73"/>
                <w:sz w:val="18"/>
              </w:rPr>
              <w:t>2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23"/>
              <w:rPr>
                <w:rFonts w:ascii="Times New Roman" w:eastAsia="Times New Roman" w:hAnsi="Times New Roman"/>
                <w:w w:val="73"/>
                <w:sz w:val="18"/>
              </w:rPr>
            </w:pPr>
            <w:r>
              <w:rPr>
                <w:rFonts w:ascii="Times New Roman" w:eastAsia="Times New Roman" w:hAnsi="Times New Roman"/>
                <w:w w:val="73"/>
                <w:sz w:val="18"/>
              </w:rPr>
              <w:t>ЗК3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23"/>
              <w:rPr>
                <w:rFonts w:ascii="Times New Roman" w:eastAsia="Times New Roman" w:hAnsi="Times New Roman"/>
                <w:w w:val="73"/>
                <w:sz w:val="18"/>
              </w:rPr>
            </w:pPr>
            <w:r>
              <w:rPr>
                <w:rFonts w:ascii="Times New Roman" w:eastAsia="Times New Roman" w:hAnsi="Times New Roman"/>
                <w:w w:val="73"/>
                <w:sz w:val="1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w w:val="73"/>
                <w:sz w:val="18"/>
              </w:rPr>
              <w:t>4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23"/>
              <w:rPr>
                <w:rFonts w:ascii="Times New Roman" w:eastAsia="Times New Roman" w:hAnsi="Times New Roman"/>
                <w:w w:val="73"/>
                <w:sz w:val="18"/>
              </w:rPr>
            </w:pPr>
            <w:r>
              <w:rPr>
                <w:rFonts w:ascii="Times New Roman" w:eastAsia="Times New Roman" w:hAnsi="Times New Roman"/>
                <w:w w:val="73"/>
                <w:sz w:val="18"/>
              </w:rPr>
              <w:t>ЗК5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23"/>
              <w:rPr>
                <w:rFonts w:ascii="Times New Roman" w:eastAsia="Times New Roman" w:hAnsi="Times New Roman"/>
                <w:w w:val="73"/>
                <w:sz w:val="18"/>
              </w:rPr>
            </w:pPr>
            <w:r>
              <w:rPr>
                <w:rFonts w:ascii="Times New Roman" w:eastAsia="Times New Roman" w:hAnsi="Times New Roman"/>
                <w:w w:val="73"/>
                <w:sz w:val="1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w w:val="73"/>
                <w:sz w:val="18"/>
              </w:rPr>
              <w:t>6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23"/>
              <w:rPr>
                <w:rFonts w:ascii="Times New Roman" w:eastAsia="Times New Roman" w:hAnsi="Times New Roman"/>
                <w:w w:val="73"/>
                <w:sz w:val="18"/>
              </w:rPr>
            </w:pPr>
            <w:r>
              <w:rPr>
                <w:rFonts w:ascii="Times New Roman" w:eastAsia="Times New Roman" w:hAnsi="Times New Roman"/>
                <w:w w:val="73"/>
                <w:sz w:val="1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w w:val="73"/>
                <w:sz w:val="18"/>
              </w:rPr>
              <w:t>7</w:t>
            </w:r>
            <w:proofErr w:type="gramEnd"/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23"/>
              <w:rPr>
                <w:rFonts w:ascii="Times New Roman" w:eastAsia="Times New Roman" w:hAnsi="Times New Roman"/>
                <w:w w:val="73"/>
                <w:sz w:val="18"/>
              </w:rPr>
            </w:pPr>
            <w:r>
              <w:rPr>
                <w:rFonts w:ascii="Times New Roman" w:eastAsia="Times New Roman" w:hAnsi="Times New Roman"/>
                <w:w w:val="73"/>
                <w:sz w:val="18"/>
              </w:rPr>
              <w:t>ЗК8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23"/>
              <w:rPr>
                <w:rFonts w:ascii="Times New Roman" w:eastAsia="Times New Roman" w:hAnsi="Times New Roman"/>
                <w:w w:val="73"/>
                <w:sz w:val="18"/>
              </w:rPr>
            </w:pPr>
            <w:r>
              <w:rPr>
                <w:rFonts w:ascii="Times New Roman" w:eastAsia="Times New Roman" w:hAnsi="Times New Roman"/>
                <w:w w:val="73"/>
                <w:sz w:val="18"/>
              </w:rPr>
              <w:t>ЗК</w:t>
            </w:r>
            <w:proofErr w:type="gramStart"/>
            <w:r>
              <w:rPr>
                <w:rFonts w:ascii="Times New Roman" w:eastAsia="Times New Roman" w:hAnsi="Times New Roman"/>
                <w:w w:val="73"/>
                <w:sz w:val="18"/>
              </w:rPr>
              <w:t>9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69"/>
              <w:rPr>
                <w:rFonts w:ascii="Times New Roman" w:eastAsia="Times New Roman" w:hAnsi="Times New Roman"/>
                <w:w w:val="72"/>
                <w:sz w:val="14"/>
              </w:rPr>
            </w:pPr>
            <w:r>
              <w:rPr>
                <w:rFonts w:ascii="Times New Roman" w:eastAsia="Times New Roman" w:hAnsi="Times New Roman"/>
                <w:w w:val="72"/>
                <w:sz w:val="14"/>
              </w:rPr>
              <w:t>ЗК10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70"/>
              <w:rPr>
                <w:rFonts w:ascii="Times New Roman" w:eastAsia="Times New Roman" w:hAnsi="Times New Roman"/>
                <w:w w:val="72"/>
                <w:sz w:val="14"/>
              </w:rPr>
            </w:pPr>
            <w:r>
              <w:rPr>
                <w:rFonts w:ascii="Times New Roman" w:eastAsia="Times New Roman" w:hAnsi="Times New Roman"/>
                <w:w w:val="72"/>
                <w:sz w:val="14"/>
              </w:rPr>
              <w:t>ЗК11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70"/>
              <w:rPr>
                <w:rFonts w:ascii="Times New Roman" w:eastAsia="Times New Roman" w:hAnsi="Times New Roman"/>
                <w:w w:val="72"/>
                <w:sz w:val="14"/>
              </w:rPr>
            </w:pPr>
            <w:r>
              <w:rPr>
                <w:rFonts w:ascii="Times New Roman" w:eastAsia="Times New Roman" w:hAnsi="Times New Roman"/>
                <w:w w:val="72"/>
                <w:sz w:val="14"/>
              </w:rPr>
              <w:t>ЗК12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70"/>
              <w:rPr>
                <w:rFonts w:ascii="Times New Roman" w:eastAsia="Times New Roman" w:hAnsi="Times New Roman"/>
                <w:w w:val="72"/>
                <w:sz w:val="14"/>
              </w:rPr>
            </w:pPr>
            <w:r>
              <w:rPr>
                <w:rFonts w:ascii="Times New Roman" w:eastAsia="Times New Roman" w:hAnsi="Times New Roman"/>
                <w:w w:val="72"/>
                <w:sz w:val="14"/>
              </w:rPr>
              <w:t>ЗК13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228" w:lineRule="auto"/>
              <w:ind w:left="10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w w:val="70"/>
              </w:rPr>
              <w:t>1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228" w:lineRule="auto"/>
              <w:ind w:left="10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w w:val="70"/>
              </w:rPr>
              <w:t>2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228" w:lineRule="auto"/>
              <w:ind w:left="7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СК3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228" w:lineRule="auto"/>
              <w:ind w:left="18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w w:val="70"/>
              </w:rPr>
              <w:t>4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228" w:lineRule="auto"/>
              <w:ind w:left="13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СК5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228" w:lineRule="auto"/>
              <w:ind w:left="20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w w:val="70"/>
              </w:rPr>
              <w:t>6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228" w:lineRule="auto"/>
              <w:ind w:left="7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w w:val="70"/>
              </w:rPr>
              <w:t>7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228" w:lineRule="auto"/>
              <w:ind w:left="15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СК8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227" w:lineRule="auto"/>
              <w:ind w:left="2"/>
              <w:rPr>
                <w:rFonts w:ascii="Times New Roman" w:eastAsia="Times New Roman" w:hAnsi="Times New Roman"/>
                <w:w w:val="70"/>
              </w:rPr>
            </w:pPr>
            <w:r>
              <w:rPr>
                <w:rFonts w:ascii="Times New Roman" w:eastAsia="Times New Roman" w:hAnsi="Times New Roman"/>
                <w:w w:val="70"/>
              </w:rPr>
              <w:t>СК</w:t>
            </w:r>
            <w:proofErr w:type="gramStart"/>
            <w:r>
              <w:rPr>
                <w:rFonts w:ascii="Times New Roman" w:eastAsia="Times New Roman" w:hAnsi="Times New Roman"/>
                <w:w w:val="70"/>
              </w:rPr>
              <w:t>9</w:t>
            </w:r>
            <w:proofErr w:type="gramEnd"/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56"/>
              <w:rPr>
                <w:rFonts w:ascii="Times New Roman" w:eastAsia="Times New Roman" w:hAnsi="Times New Roman"/>
                <w:w w:val="74"/>
                <w:sz w:val="15"/>
              </w:rPr>
            </w:pPr>
            <w:r>
              <w:rPr>
                <w:rFonts w:ascii="Times New Roman" w:eastAsia="Times New Roman" w:hAnsi="Times New Roman"/>
                <w:w w:val="74"/>
                <w:sz w:val="15"/>
              </w:rPr>
              <w:t>СК10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48"/>
              <w:rPr>
                <w:rFonts w:ascii="Times New Roman" w:eastAsia="Times New Roman" w:hAnsi="Times New Roman"/>
                <w:w w:val="74"/>
                <w:sz w:val="15"/>
              </w:rPr>
            </w:pPr>
            <w:r>
              <w:rPr>
                <w:rFonts w:ascii="Times New Roman" w:eastAsia="Times New Roman" w:hAnsi="Times New Roman"/>
                <w:w w:val="74"/>
                <w:sz w:val="15"/>
              </w:rPr>
              <w:t>СК11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58"/>
              <w:rPr>
                <w:rFonts w:ascii="Times New Roman" w:eastAsia="Times New Roman" w:hAnsi="Times New Roman"/>
                <w:w w:val="74"/>
                <w:sz w:val="15"/>
              </w:rPr>
            </w:pPr>
            <w:r>
              <w:rPr>
                <w:rFonts w:ascii="Times New Roman" w:eastAsia="Times New Roman" w:hAnsi="Times New Roman"/>
                <w:w w:val="74"/>
                <w:sz w:val="15"/>
              </w:rPr>
              <w:t>СК12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56"/>
              <w:rPr>
                <w:rFonts w:ascii="Times New Roman" w:eastAsia="Times New Roman" w:hAnsi="Times New Roman"/>
                <w:w w:val="74"/>
                <w:sz w:val="15"/>
              </w:rPr>
            </w:pPr>
            <w:r>
              <w:rPr>
                <w:rFonts w:ascii="Times New Roman" w:eastAsia="Times New Roman" w:hAnsi="Times New Roman"/>
                <w:w w:val="74"/>
                <w:sz w:val="15"/>
              </w:rPr>
              <w:t>СК13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textDirection w:val="btLr"/>
            <w:vAlign w:val="bottom"/>
          </w:tcPr>
          <w:p w:rsidR="00F17DBC" w:rsidRDefault="00216C5F">
            <w:pPr>
              <w:spacing w:line="0" w:lineRule="atLeast"/>
              <w:ind w:left="56"/>
              <w:rPr>
                <w:rFonts w:ascii="Times New Roman" w:eastAsia="Times New Roman" w:hAnsi="Times New Roman"/>
                <w:w w:val="74"/>
                <w:sz w:val="15"/>
              </w:rPr>
            </w:pPr>
            <w:r>
              <w:rPr>
                <w:rFonts w:ascii="Times New Roman" w:eastAsia="Times New Roman" w:hAnsi="Times New Roman"/>
                <w:w w:val="74"/>
                <w:sz w:val="15"/>
              </w:rPr>
              <w:t>СК14</w:t>
            </w:r>
          </w:p>
        </w:tc>
      </w:tr>
      <w:tr w:rsidR="007C7E12">
        <w:trPr>
          <w:trHeight w:val="186"/>
        </w:trPr>
        <w:tc>
          <w:tcPr>
            <w:tcW w:w="26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20" w:type="dxa"/>
            <w:vMerge w:val="restart"/>
            <w:shd w:val="clear" w:color="auto" w:fill="D9D9D9"/>
            <w:vAlign w:val="bottom"/>
          </w:tcPr>
          <w:p w:rsidR="00F17DBC" w:rsidRDefault="00216C5F">
            <w:pPr>
              <w:spacing w:line="228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компетентність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gridSpan w:val="2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gridSpan w:val="2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F17DBC">
        <w:trPr>
          <w:trHeight w:val="42"/>
        </w:trPr>
        <w:tc>
          <w:tcPr>
            <w:tcW w:w="26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20" w:type="dxa"/>
            <w:vMerge/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F17DBC">
        <w:trPr>
          <w:trHeight w:val="416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17DBC">
        <w:trPr>
          <w:trHeight w:val="249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</w:rPr>
              <w:t>1</w:t>
            </w:r>
            <w:proofErr w:type="gramEnd"/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17DBC">
        <w:trPr>
          <w:trHeight w:val="25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7DBC">
        <w:trPr>
          <w:trHeight w:val="26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Р3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F17DBC">
        <w:trPr>
          <w:trHeight w:val="26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</w:rPr>
              <w:t>4</w:t>
            </w:r>
            <w:proofErr w:type="gram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7DBC">
        <w:trPr>
          <w:trHeight w:val="26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Р5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17DBC">
        <w:trPr>
          <w:trHeight w:val="25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</w:rPr>
              <w:t>6</w:t>
            </w:r>
            <w:proofErr w:type="gram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7DBC">
        <w:trPr>
          <w:trHeight w:val="26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</w:rPr>
              <w:t>7</w:t>
            </w:r>
            <w:proofErr w:type="gramEnd"/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7DBC">
        <w:trPr>
          <w:trHeight w:val="21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7DBC">
        <w:trPr>
          <w:trHeight w:val="66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7DBC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</w:rPr>
              <w:t>9</w:t>
            </w:r>
            <w:proofErr w:type="gramEnd"/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7DBC">
        <w:trPr>
          <w:trHeight w:val="26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Р10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F17DBC">
        <w:trPr>
          <w:trHeight w:val="26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Р11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7DBC">
        <w:trPr>
          <w:trHeight w:val="26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Р12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17DBC">
        <w:trPr>
          <w:trHeight w:val="27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Р13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F17DBC">
        <w:trPr>
          <w:trHeight w:val="22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17DBC" w:rsidRDefault="00216C5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Р14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F17DBC">
        <w:trPr>
          <w:trHeight w:val="268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Р15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F17DBC">
        <w:trPr>
          <w:trHeight w:val="25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Р16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17DBC">
        <w:trPr>
          <w:trHeight w:val="22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F17DBC" w:rsidRDefault="00216C5F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Р17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F17DBC">
        <w:trPr>
          <w:trHeight w:val="21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40" w:type="dxa"/>
            <w:shd w:val="clear" w:color="auto" w:fill="D9D9D9"/>
            <w:vAlign w:val="bottom"/>
          </w:tcPr>
          <w:p w:rsidR="00F17DBC" w:rsidRDefault="00216C5F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7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F17DBC">
        <w:trPr>
          <w:trHeight w:val="64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17DBC">
        <w:trPr>
          <w:trHeight w:val="266"/>
        </w:trPr>
        <w:tc>
          <w:tcPr>
            <w:tcW w:w="120" w:type="dxa"/>
            <w:tcBorders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4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Р19</w:t>
            </w: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20" w:type="dxa"/>
            <w:gridSpan w:val="2"/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F17DBC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F17DBC" w:rsidRDefault="00216C5F">
            <w:pPr>
              <w:spacing w:line="21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Р20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right="6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3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F17DB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7DBC" w:rsidRDefault="00216C5F">
            <w:pPr>
              <w:spacing w:line="214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+</w:t>
            </w:r>
          </w:p>
        </w:tc>
      </w:tr>
      <w:tr w:rsidR="00F17DBC">
        <w:trPr>
          <w:trHeight w:val="20"/>
        </w:trPr>
        <w:tc>
          <w:tcPr>
            <w:tcW w:w="268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0" w:type="dxa"/>
            <w:gridSpan w:val="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17DBC" w:rsidRDefault="00F17DBC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F17DBC" w:rsidRPr="00637CE2" w:rsidRDefault="00F17DBC">
      <w:pPr>
        <w:rPr>
          <w:rFonts w:ascii="Times New Roman" w:eastAsia="Times New Roman" w:hAnsi="Times New Roman"/>
          <w:sz w:val="1"/>
          <w:lang w:val="uk-UA"/>
        </w:rPr>
        <w:sectPr w:rsidR="00F17DBC" w:rsidRPr="00637CE2">
          <w:pgSz w:w="16840" w:h="11906" w:orient="landscape"/>
          <w:pgMar w:top="702" w:right="1258" w:bottom="1440" w:left="1260" w:header="0" w:footer="0" w:gutter="0"/>
          <w:cols w:space="0" w:equalWidth="0">
            <w:col w:w="14320"/>
          </w:cols>
          <w:docGrid w:linePitch="360"/>
        </w:sectPr>
      </w:pPr>
    </w:p>
    <w:p w:rsidR="00F17DBC" w:rsidRPr="00637CE2" w:rsidRDefault="00F17DBC" w:rsidP="00637CE2">
      <w:pPr>
        <w:spacing w:line="0" w:lineRule="atLeast"/>
        <w:rPr>
          <w:rFonts w:ascii="Arial" w:eastAsia="Arial" w:hAnsi="Arial"/>
          <w:sz w:val="25"/>
          <w:lang w:val="uk-UA"/>
        </w:rPr>
      </w:pPr>
      <w:bookmarkStart w:id="14" w:name="page16"/>
      <w:bookmarkEnd w:id="14"/>
    </w:p>
    <w:sectPr w:rsidR="00F17DBC" w:rsidRPr="00637CE2">
      <w:pgSz w:w="16840" w:h="11906" w:orient="landscape"/>
      <w:pgMar w:top="716" w:right="1440" w:bottom="1440" w:left="1440" w:header="0" w:footer="0" w:gutter="0"/>
      <w:cols w:space="0" w:equalWidth="0">
        <w:col w:w="1395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7ED7AA"/>
    <w:lvl w:ilvl="0" w:tplc="FFB0AB50">
      <w:start w:val="1"/>
      <w:numFmt w:val="bullet"/>
      <w:lvlText w:val="ІІІ"/>
      <w:lvlJc w:val="left"/>
    </w:lvl>
    <w:lvl w:ilvl="1" w:tplc="C19881B4">
      <w:start w:val="1"/>
      <w:numFmt w:val="bullet"/>
      <w:lvlText w:val=""/>
      <w:lvlJc w:val="left"/>
    </w:lvl>
    <w:lvl w:ilvl="2" w:tplc="52C263FC">
      <w:start w:val="1"/>
      <w:numFmt w:val="bullet"/>
      <w:lvlText w:val=""/>
      <w:lvlJc w:val="left"/>
    </w:lvl>
    <w:lvl w:ilvl="3" w:tplc="119C06EA">
      <w:start w:val="1"/>
      <w:numFmt w:val="bullet"/>
      <w:lvlText w:val=""/>
      <w:lvlJc w:val="left"/>
    </w:lvl>
    <w:lvl w:ilvl="4" w:tplc="7EF27E5E">
      <w:start w:val="1"/>
      <w:numFmt w:val="bullet"/>
      <w:lvlText w:val=""/>
      <w:lvlJc w:val="left"/>
    </w:lvl>
    <w:lvl w:ilvl="5" w:tplc="59C0ADBC">
      <w:start w:val="1"/>
      <w:numFmt w:val="bullet"/>
      <w:lvlText w:val=""/>
      <w:lvlJc w:val="left"/>
    </w:lvl>
    <w:lvl w:ilvl="6" w:tplc="72302988">
      <w:start w:val="1"/>
      <w:numFmt w:val="bullet"/>
      <w:lvlText w:val=""/>
      <w:lvlJc w:val="left"/>
    </w:lvl>
    <w:lvl w:ilvl="7" w:tplc="A1326CE4">
      <w:start w:val="1"/>
      <w:numFmt w:val="bullet"/>
      <w:lvlText w:val=""/>
      <w:lvlJc w:val="left"/>
    </w:lvl>
    <w:lvl w:ilvl="8" w:tplc="E97274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DCC62C98">
      <w:start w:val="4"/>
      <w:numFmt w:val="decimal"/>
      <w:lvlText w:val="%1."/>
      <w:lvlJc w:val="left"/>
    </w:lvl>
    <w:lvl w:ilvl="1" w:tplc="08F87D02">
      <w:start w:val="1"/>
      <w:numFmt w:val="bullet"/>
      <w:lvlText w:val=""/>
      <w:lvlJc w:val="left"/>
    </w:lvl>
    <w:lvl w:ilvl="2" w:tplc="4C326A7A">
      <w:start w:val="1"/>
      <w:numFmt w:val="bullet"/>
      <w:lvlText w:val=""/>
      <w:lvlJc w:val="left"/>
    </w:lvl>
    <w:lvl w:ilvl="3" w:tplc="30101B66">
      <w:start w:val="1"/>
      <w:numFmt w:val="bullet"/>
      <w:lvlText w:val=""/>
      <w:lvlJc w:val="left"/>
    </w:lvl>
    <w:lvl w:ilvl="4" w:tplc="7FA42288">
      <w:start w:val="1"/>
      <w:numFmt w:val="bullet"/>
      <w:lvlText w:val=""/>
      <w:lvlJc w:val="left"/>
    </w:lvl>
    <w:lvl w:ilvl="5" w:tplc="00A0725A">
      <w:start w:val="1"/>
      <w:numFmt w:val="bullet"/>
      <w:lvlText w:val=""/>
      <w:lvlJc w:val="left"/>
    </w:lvl>
    <w:lvl w:ilvl="6" w:tplc="8264C2F6">
      <w:start w:val="1"/>
      <w:numFmt w:val="bullet"/>
      <w:lvlText w:val=""/>
      <w:lvlJc w:val="left"/>
    </w:lvl>
    <w:lvl w:ilvl="7" w:tplc="0A78D7AA">
      <w:start w:val="1"/>
      <w:numFmt w:val="bullet"/>
      <w:lvlText w:val=""/>
      <w:lvlJc w:val="left"/>
    </w:lvl>
    <w:lvl w:ilvl="8" w:tplc="1F20943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4A6C9C22">
      <w:start w:val="1"/>
      <w:numFmt w:val="decimal"/>
      <w:lvlText w:val="%1."/>
      <w:lvlJc w:val="left"/>
    </w:lvl>
    <w:lvl w:ilvl="1" w:tplc="3B721664">
      <w:start w:val="1"/>
      <w:numFmt w:val="bullet"/>
      <w:lvlText w:val=""/>
      <w:lvlJc w:val="left"/>
    </w:lvl>
    <w:lvl w:ilvl="2" w:tplc="5FB046AC">
      <w:start w:val="1"/>
      <w:numFmt w:val="bullet"/>
      <w:lvlText w:val=""/>
      <w:lvlJc w:val="left"/>
    </w:lvl>
    <w:lvl w:ilvl="3" w:tplc="8A78956E">
      <w:start w:val="1"/>
      <w:numFmt w:val="bullet"/>
      <w:lvlText w:val=""/>
      <w:lvlJc w:val="left"/>
    </w:lvl>
    <w:lvl w:ilvl="4" w:tplc="4400274A">
      <w:start w:val="1"/>
      <w:numFmt w:val="bullet"/>
      <w:lvlText w:val=""/>
      <w:lvlJc w:val="left"/>
    </w:lvl>
    <w:lvl w:ilvl="5" w:tplc="CE22A54C">
      <w:start w:val="1"/>
      <w:numFmt w:val="bullet"/>
      <w:lvlText w:val=""/>
      <w:lvlJc w:val="left"/>
    </w:lvl>
    <w:lvl w:ilvl="6" w:tplc="C73E0FA0">
      <w:start w:val="1"/>
      <w:numFmt w:val="bullet"/>
      <w:lvlText w:val=""/>
      <w:lvlJc w:val="left"/>
    </w:lvl>
    <w:lvl w:ilvl="7" w:tplc="C57824D6">
      <w:start w:val="1"/>
      <w:numFmt w:val="bullet"/>
      <w:lvlText w:val=""/>
      <w:lvlJc w:val="left"/>
    </w:lvl>
    <w:lvl w:ilvl="8" w:tplc="81A2AB3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509C0A76">
      <w:start w:val="3"/>
      <w:numFmt w:val="decimal"/>
      <w:lvlText w:val="%1."/>
      <w:lvlJc w:val="left"/>
    </w:lvl>
    <w:lvl w:ilvl="1" w:tplc="8F74E8F6">
      <w:start w:val="1"/>
      <w:numFmt w:val="bullet"/>
      <w:lvlText w:val=""/>
      <w:lvlJc w:val="left"/>
    </w:lvl>
    <w:lvl w:ilvl="2" w:tplc="B76C1A38">
      <w:start w:val="1"/>
      <w:numFmt w:val="bullet"/>
      <w:lvlText w:val=""/>
      <w:lvlJc w:val="left"/>
    </w:lvl>
    <w:lvl w:ilvl="3" w:tplc="1D64D4EC">
      <w:start w:val="1"/>
      <w:numFmt w:val="bullet"/>
      <w:lvlText w:val=""/>
      <w:lvlJc w:val="left"/>
    </w:lvl>
    <w:lvl w:ilvl="4" w:tplc="E30CFF90">
      <w:start w:val="1"/>
      <w:numFmt w:val="bullet"/>
      <w:lvlText w:val=""/>
      <w:lvlJc w:val="left"/>
    </w:lvl>
    <w:lvl w:ilvl="5" w:tplc="F8962A3C">
      <w:start w:val="1"/>
      <w:numFmt w:val="bullet"/>
      <w:lvlText w:val=""/>
      <w:lvlJc w:val="left"/>
    </w:lvl>
    <w:lvl w:ilvl="6" w:tplc="9F0614DE">
      <w:start w:val="1"/>
      <w:numFmt w:val="bullet"/>
      <w:lvlText w:val=""/>
      <w:lvlJc w:val="left"/>
    </w:lvl>
    <w:lvl w:ilvl="7" w:tplc="F9AA8966">
      <w:start w:val="1"/>
      <w:numFmt w:val="bullet"/>
      <w:lvlText w:val=""/>
      <w:lvlJc w:val="left"/>
    </w:lvl>
    <w:lvl w:ilvl="8" w:tplc="AD4A628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B21A398E">
      <w:start w:val="19"/>
      <w:numFmt w:val="decimal"/>
      <w:lvlText w:val="%1."/>
      <w:lvlJc w:val="left"/>
    </w:lvl>
    <w:lvl w:ilvl="1" w:tplc="80E687B6">
      <w:start w:val="1"/>
      <w:numFmt w:val="bullet"/>
      <w:lvlText w:val=""/>
      <w:lvlJc w:val="left"/>
    </w:lvl>
    <w:lvl w:ilvl="2" w:tplc="F274D110">
      <w:start w:val="1"/>
      <w:numFmt w:val="bullet"/>
      <w:lvlText w:val=""/>
      <w:lvlJc w:val="left"/>
    </w:lvl>
    <w:lvl w:ilvl="3" w:tplc="EEC834FC">
      <w:start w:val="1"/>
      <w:numFmt w:val="bullet"/>
      <w:lvlText w:val=""/>
      <w:lvlJc w:val="left"/>
    </w:lvl>
    <w:lvl w:ilvl="4" w:tplc="33385836">
      <w:start w:val="1"/>
      <w:numFmt w:val="bullet"/>
      <w:lvlText w:val=""/>
      <w:lvlJc w:val="left"/>
    </w:lvl>
    <w:lvl w:ilvl="5" w:tplc="969663A4">
      <w:start w:val="1"/>
      <w:numFmt w:val="bullet"/>
      <w:lvlText w:val=""/>
      <w:lvlJc w:val="left"/>
    </w:lvl>
    <w:lvl w:ilvl="6" w:tplc="051C5B0C">
      <w:start w:val="1"/>
      <w:numFmt w:val="bullet"/>
      <w:lvlText w:val=""/>
      <w:lvlJc w:val="left"/>
    </w:lvl>
    <w:lvl w:ilvl="7" w:tplc="537087AA">
      <w:start w:val="1"/>
      <w:numFmt w:val="bullet"/>
      <w:lvlText w:val=""/>
      <w:lvlJc w:val="left"/>
    </w:lvl>
    <w:lvl w:ilvl="8" w:tplc="187EE21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 w:tplc="0A92C6FE">
      <w:start w:val="1"/>
      <w:numFmt w:val="bullet"/>
      <w:lvlText w:val="У"/>
      <w:lvlJc w:val="left"/>
    </w:lvl>
    <w:lvl w:ilvl="1" w:tplc="82E293C8">
      <w:start w:val="1"/>
      <w:numFmt w:val="bullet"/>
      <w:lvlText w:val=""/>
      <w:lvlJc w:val="left"/>
    </w:lvl>
    <w:lvl w:ilvl="2" w:tplc="00D420B4">
      <w:start w:val="1"/>
      <w:numFmt w:val="bullet"/>
      <w:lvlText w:val=""/>
      <w:lvlJc w:val="left"/>
    </w:lvl>
    <w:lvl w:ilvl="3" w:tplc="FF8C4870">
      <w:start w:val="1"/>
      <w:numFmt w:val="bullet"/>
      <w:lvlText w:val=""/>
      <w:lvlJc w:val="left"/>
    </w:lvl>
    <w:lvl w:ilvl="4" w:tplc="655622EA">
      <w:start w:val="1"/>
      <w:numFmt w:val="bullet"/>
      <w:lvlText w:val=""/>
      <w:lvlJc w:val="left"/>
    </w:lvl>
    <w:lvl w:ilvl="5" w:tplc="DE9E0F64">
      <w:start w:val="1"/>
      <w:numFmt w:val="bullet"/>
      <w:lvlText w:val=""/>
      <w:lvlJc w:val="left"/>
    </w:lvl>
    <w:lvl w:ilvl="6" w:tplc="AC500D28">
      <w:start w:val="1"/>
      <w:numFmt w:val="bullet"/>
      <w:lvlText w:val=""/>
      <w:lvlJc w:val="left"/>
    </w:lvl>
    <w:lvl w:ilvl="7" w:tplc="326A5516">
      <w:start w:val="1"/>
      <w:numFmt w:val="bullet"/>
      <w:lvlText w:val=""/>
      <w:lvlJc w:val="left"/>
    </w:lvl>
    <w:lvl w:ilvl="8" w:tplc="C5A0FE0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 w:tplc="C308C4A4">
      <w:start w:val="3"/>
      <w:numFmt w:val="decimal"/>
      <w:lvlText w:val="%1)"/>
      <w:lvlJc w:val="left"/>
    </w:lvl>
    <w:lvl w:ilvl="1" w:tplc="62F82920">
      <w:start w:val="1"/>
      <w:numFmt w:val="bullet"/>
      <w:lvlText w:val=""/>
      <w:lvlJc w:val="left"/>
    </w:lvl>
    <w:lvl w:ilvl="2" w:tplc="3F2AA33A">
      <w:start w:val="1"/>
      <w:numFmt w:val="bullet"/>
      <w:lvlText w:val=""/>
      <w:lvlJc w:val="left"/>
    </w:lvl>
    <w:lvl w:ilvl="3" w:tplc="5C0CC5A6">
      <w:start w:val="1"/>
      <w:numFmt w:val="bullet"/>
      <w:lvlText w:val=""/>
      <w:lvlJc w:val="left"/>
    </w:lvl>
    <w:lvl w:ilvl="4" w:tplc="1250FE62">
      <w:start w:val="1"/>
      <w:numFmt w:val="bullet"/>
      <w:lvlText w:val=""/>
      <w:lvlJc w:val="left"/>
    </w:lvl>
    <w:lvl w:ilvl="5" w:tplc="787A5204">
      <w:start w:val="1"/>
      <w:numFmt w:val="bullet"/>
      <w:lvlText w:val=""/>
      <w:lvlJc w:val="left"/>
    </w:lvl>
    <w:lvl w:ilvl="6" w:tplc="E97A6A34">
      <w:start w:val="1"/>
      <w:numFmt w:val="bullet"/>
      <w:lvlText w:val=""/>
      <w:lvlJc w:val="left"/>
    </w:lvl>
    <w:lvl w:ilvl="7" w:tplc="B9B879CC">
      <w:start w:val="1"/>
      <w:numFmt w:val="bullet"/>
      <w:lvlText w:val=""/>
      <w:lvlJc w:val="left"/>
    </w:lvl>
    <w:lvl w:ilvl="8" w:tplc="E1FE731E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 w:tplc="7654FB9A">
      <w:start w:val="4"/>
      <w:numFmt w:val="decimal"/>
      <w:lvlText w:val="%1)"/>
      <w:lvlJc w:val="left"/>
    </w:lvl>
    <w:lvl w:ilvl="1" w:tplc="C7A6B21E">
      <w:start w:val="1"/>
      <w:numFmt w:val="bullet"/>
      <w:lvlText w:val=""/>
      <w:lvlJc w:val="left"/>
    </w:lvl>
    <w:lvl w:ilvl="2" w:tplc="D690E1D4">
      <w:start w:val="1"/>
      <w:numFmt w:val="bullet"/>
      <w:lvlText w:val=""/>
      <w:lvlJc w:val="left"/>
    </w:lvl>
    <w:lvl w:ilvl="3" w:tplc="0C0CA800">
      <w:start w:val="1"/>
      <w:numFmt w:val="bullet"/>
      <w:lvlText w:val=""/>
      <w:lvlJc w:val="left"/>
    </w:lvl>
    <w:lvl w:ilvl="4" w:tplc="A4FCC786">
      <w:start w:val="1"/>
      <w:numFmt w:val="bullet"/>
      <w:lvlText w:val=""/>
      <w:lvlJc w:val="left"/>
    </w:lvl>
    <w:lvl w:ilvl="5" w:tplc="0CF6A9A8">
      <w:start w:val="1"/>
      <w:numFmt w:val="bullet"/>
      <w:lvlText w:val=""/>
      <w:lvlJc w:val="left"/>
    </w:lvl>
    <w:lvl w:ilvl="6" w:tplc="0AE6815A">
      <w:start w:val="1"/>
      <w:numFmt w:val="bullet"/>
      <w:lvlText w:val=""/>
      <w:lvlJc w:val="left"/>
    </w:lvl>
    <w:lvl w:ilvl="7" w:tplc="B7386F2E">
      <w:start w:val="1"/>
      <w:numFmt w:val="bullet"/>
      <w:lvlText w:val=""/>
      <w:lvlJc w:val="left"/>
    </w:lvl>
    <w:lvl w:ilvl="8" w:tplc="D520E97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 w:tplc="4418AB7C">
      <w:start w:val="1"/>
      <w:numFmt w:val="decimal"/>
      <w:lvlText w:val="%1."/>
      <w:lvlJc w:val="left"/>
    </w:lvl>
    <w:lvl w:ilvl="1" w:tplc="67721588">
      <w:start w:val="1"/>
      <w:numFmt w:val="bullet"/>
      <w:lvlText w:val=""/>
      <w:lvlJc w:val="left"/>
    </w:lvl>
    <w:lvl w:ilvl="2" w:tplc="78C20F90">
      <w:start w:val="1"/>
      <w:numFmt w:val="bullet"/>
      <w:lvlText w:val=""/>
      <w:lvlJc w:val="left"/>
    </w:lvl>
    <w:lvl w:ilvl="3" w:tplc="6B16BD1E">
      <w:start w:val="1"/>
      <w:numFmt w:val="bullet"/>
      <w:lvlText w:val=""/>
      <w:lvlJc w:val="left"/>
    </w:lvl>
    <w:lvl w:ilvl="4" w:tplc="97762556">
      <w:start w:val="1"/>
      <w:numFmt w:val="bullet"/>
      <w:lvlText w:val=""/>
      <w:lvlJc w:val="left"/>
    </w:lvl>
    <w:lvl w:ilvl="5" w:tplc="C4CA366A">
      <w:start w:val="1"/>
      <w:numFmt w:val="bullet"/>
      <w:lvlText w:val=""/>
      <w:lvlJc w:val="left"/>
    </w:lvl>
    <w:lvl w:ilvl="6" w:tplc="CC348D24">
      <w:start w:val="1"/>
      <w:numFmt w:val="bullet"/>
      <w:lvlText w:val=""/>
      <w:lvlJc w:val="left"/>
    </w:lvl>
    <w:lvl w:ilvl="7" w:tplc="25CC7B7E">
      <w:start w:val="1"/>
      <w:numFmt w:val="bullet"/>
      <w:lvlText w:val=""/>
      <w:lvlJc w:val="left"/>
    </w:lvl>
    <w:lvl w:ilvl="8" w:tplc="1568B9BE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 w:tplc="A90CC8AE">
      <w:start w:val="1"/>
      <w:numFmt w:val="bullet"/>
      <w:lvlText w:val="№"/>
      <w:lvlJc w:val="left"/>
    </w:lvl>
    <w:lvl w:ilvl="1" w:tplc="56962BE2">
      <w:start w:val="9"/>
      <w:numFmt w:val="decimal"/>
      <w:lvlText w:val="%2."/>
      <w:lvlJc w:val="left"/>
    </w:lvl>
    <w:lvl w:ilvl="2" w:tplc="DBFE5C8A">
      <w:start w:val="1"/>
      <w:numFmt w:val="bullet"/>
      <w:lvlText w:val=""/>
      <w:lvlJc w:val="left"/>
    </w:lvl>
    <w:lvl w:ilvl="3" w:tplc="B218D628">
      <w:start w:val="1"/>
      <w:numFmt w:val="bullet"/>
      <w:lvlText w:val=""/>
      <w:lvlJc w:val="left"/>
    </w:lvl>
    <w:lvl w:ilvl="4" w:tplc="618CBCB8">
      <w:start w:val="1"/>
      <w:numFmt w:val="bullet"/>
      <w:lvlText w:val=""/>
      <w:lvlJc w:val="left"/>
    </w:lvl>
    <w:lvl w:ilvl="5" w:tplc="7F42AD44">
      <w:start w:val="1"/>
      <w:numFmt w:val="bullet"/>
      <w:lvlText w:val=""/>
      <w:lvlJc w:val="left"/>
    </w:lvl>
    <w:lvl w:ilvl="6" w:tplc="A8E49F18">
      <w:start w:val="1"/>
      <w:numFmt w:val="bullet"/>
      <w:lvlText w:val=""/>
      <w:lvlJc w:val="left"/>
    </w:lvl>
    <w:lvl w:ilvl="7" w:tplc="FDB480DA">
      <w:start w:val="1"/>
      <w:numFmt w:val="bullet"/>
      <w:lvlText w:val=""/>
      <w:lvlJc w:val="left"/>
    </w:lvl>
    <w:lvl w:ilvl="8" w:tplc="B748CE5E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 w:tplc="97948FD0">
      <w:start w:val="1"/>
      <w:numFmt w:val="bullet"/>
      <w:lvlText w:val="Ю."/>
      <w:lvlJc w:val="left"/>
    </w:lvl>
    <w:lvl w:ilvl="1" w:tplc="CAE0A94A">
      <w:start w:val="10"/>
      <w:numFmt w:val="decimal"/>
      <w:lvlText w:val="%2."/>
      <w:lvlJc w:val="left"/>
    </w:lvl>
    <w:lvl w:ilvl="2" w:tplc="04A48818">
      <w:start w:val="1"/>
      <w:numFmt w:val="bullet"/>
      <w:lvlText w:val=""/>
      <w:lvlJc w:val="left"/>
    </w:lvl>
    <w:lvl w:ilvl="3" w:tplc="8618C78C">
      <w:start w:val="1"/>
      <w:numFmt w:val="bullet"/>
      <w:lvlText w:val=""/>
      <w:lvlJc w:val="left"/>
    </w:lvl>
    <w:lvl w:ilvl="4" w:tplc="D9B8E964">
      <w:start w:val="1"/>
      <w:numFmt w:val="bullet"/>
      <w:lvlText w:val=""/>
      <w:lvlJc w:val="left"/>
    </w:lvl>
    <w:lvl w:ilvl="5" w:tplc="23D4CB9E">
      <w:start w:val="1"/>
      <w:numFmt w:val="bullet"/>
      <w:lvlText w:val=""/>
      <w:lvlJc w:val="left"/>
    </w:lvl>
    <w:lvl w:ilvl="6" w:tplc="F19C7EA4">
      <w:start w:val="1"/>
      <w:numFmt w:val="bullet"/>
      <w:lvlText w:val=""/>
      <w:lvlJc w:val="left"/>
    </w:lvl>
    <w:lvl w:ilvl="7" w:tplc="CA604704">
      <w:start w:val="1"/>
      <w:numFmt w:val="bullet"/>
      <w:lvlText w:val=""/>
      <w:lvlJc w:val="left"/>
    </w:lvl>
    <w:lvl w:ilvl="8" w:tplc="D40C5978">
      <w:start w:val="1"/>
      <w:numFmt w:val="bullet"/>
      <w:lvlText w:val=""/>
      <w:lvlJc w:val="left"/>
    </w:lvl>
  </w:abstractNum>
  <w:abstractNum w:abstractNumId="11">
    <w:nsid w:val="2018615B"/>
    <w:multiLevelType w:val="hybridMultilevel"/>
    <w:tmpl w:val="D28A9A6C"/>
    <w:lvl w:ilvl="0" w:tplc="EF0C3D5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3A9102B"/>
    <w:multiLevelType w:val="hybridMultilevel"/>
    <w:tmpl w:val="A0069948"/>
    <w:lvl w:ilvl="0" w:tplc="EBB2D428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80"/>
    <w:rsid w:val="001F1C22"/>
    <w:rsid w:val="00216C5F"/>
    <w:rsid w:val="00263FC7"/>
    <w:rsid w:val="00287088"/>
    <w:rsid w:val="00293BBE"/>
    <w:rsid w:val="003129F5"/>
    <w:rsid w:val="004D462C"/>
    <w:rsid w:val="00637CE2"/>
    <w:rsid w:val="00774ABE"/>
    <w:rsid w:val="007C7E12"/>
    <w:rsid w:val="009F740A"/>
    <w:rsid w:val="00A21505"/>
    <w:rsid w:val="00A4267A"/>
    <w:rsid w:val="00BB4080"/>
    <w:rsid w:val="00CA260D"/>
    <w:rsid w:val="00F1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08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4080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F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10406</Words>
  <Characters>5932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11</cp:revision>
  <cp:lastPrinted>2019-10-05T07:56:00Z</cp:lastPrinted>
  <dcterms:created xsi:type="dcterms:W3CDTF">2019-10-03T15:06:00Z</dcterms:created>
  <dcterms:modified xsi:type="dcterms:W3CDTF">2019-10-05T12:14:00Z</dcterms:modified>
</cp:coreProperties>
</file>